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BE4F" w14:textId="77777777" w:rsidR="00136435" w:rsidRDefault="006F0034">
      <w:pPr>
        <w:spacing w:after="218" w:line="259" w:lineRule="auto"/>
        <w:ind w:left="0" w:firstLine="0"/>
        <w:jc w:val="left"/>
      </w:pPr>
      <w:r>
        <w:t xml:space="preserve"> </w:t>
      </w:r>
    </w:p>
    <w:p w14:paraId="26E49D84" w14:textId="77777777" w:rsidR="00136435" w:rsidRDefault="006F0034">
      <w:pPr>
        <w:spacing w:after="216" w:line="259" w:lineRule="auto"/>
        <w:ind w:left="0" w:firstLine="0"/>
        <w:jc w:val="left"/>
      </w:pPr>
      <w:r>
        <w:t xml:space="preserve"> </w:t>
      </w:r>
    </w:p>
    <w:p w14:paraId="2B7B8900" w14:textId="77777777" w:rsidR="00136435" w:rsidRDefault="006F0034">
      <w:pPr>
        <w:spacing w:after="218" w:line="259" w:lineRule="auto"/>
        <w:ind w:left="0" w:firstLine="0"/>
        <w:jc w:val="left"/>
      </w:pPr>
      <w:r>
        <w:t xml:space="preserve"> </w:t>
      </w:r>
    </w:p>
    <w:p w14:paraId="3D4399BF" w14:textId="77777777" w:rsidR="00136435" w:rsidRDefault="006F0034">
      <w:pPr>
        <w:spacing w:after="403" w:line="259" w:lineRule="auto"/>
        <w:ind w:left="0" w:firstLine="0"/>
        <w:jc w:val="left"/>
      </w:pPr>
      <w:r>
        <w:t xml:space="preserve"> </w:t>
      </w:r>
    </w:p>
    <w:p w14:paraId="656DF892" w14:textId="77777777" w:rsidR="00136435" w:rsidRDefault="006F0034">
      <w:pPr>
        <w:spacing w:after="233" w:line="259" w:lineRule="auto"/>
        <w:ind w:left="104" w:firstLine="0"/>
        <w:jc w:val="center"/>
      </w:pPr>
      <w:r>
        <w:rPr>
          <w:sz w:val="44"/>
        </w:rPr>
        <w:t xml:space="preserve"> </w:t>
      </w:r>
    </w:p>
    <w:p w14:paraId="46E5DE1E" w14:textId="5196C677" w:rsidR="00136435" w:rsidRDefault="006F0034">
      <w:pPr>
        <w:spacing w:after="193" w:line="276" w:lineRule="auto"/>
        <w:ind w:left="719" w:right="502" w:firstLine="0"/>
        <w:jc w:val="center"/>
      </w:pPr>
      <w:r>
        <w:rPr>
          <w:b/>
          <w:sz w:val="44"/>
        </w:rPr>
        <w:t xml:space="preserve">KRAJOWY FUNDUSZ SZKOLENIOWY  </w:t>
      </w:r>
      <w:r w:rsidR="004B4E28">
        <w:rPr>
          <w:b/>
          <w:sz w:val="44"/>
        </w:rPr>
        <w:br/>
      </w:r>
      <w:r>
        <w:rPr>
          <w:b/>
          <w:sz w:val="44"/>
        </w:rPr>
        <w:t xml:space="preserve">W ROKU 2026 </w:t>
      </w:r>
    </w:p>
    <w:p w14:paraId="7B870002" w14:textId="77777777" w:rsidR="00136435" w:rsidRDefault="006F0034">
      <w:pPr>
        <w:spacing w:after="233" w:line="259" w:lineRule="auto"/>
        <w:ind w:left="104" w:firstLine="0"/>
        <w:jc w:val="center"/>
      </w:pPr>
      <w:r>
        <w:rPr>
          <w:sz w:val="44"/>
        </w:rPr>
        <w:t xml:space="preserve"> </w:t>
      </w:r>
    </w:p>
    <w:p w14:paraId="05184823" w14:textId="77777777" w:rsidR="00136435" w:rsidRDefault="006F0034">
      <w:pPr>
        <w:spacing w:after="292" w:line="259" w:lineRule="auto"/>
        <w:ind w:left="104" w:firstLine="0"/>
        <w:jc w:val="center"/>
      </w:pPr>
      <w:r>
        <w:rPr>
          <w:sz w:val="44"/>
        </w:rPr>
        <w:t xml:space="preserve"> </w:t>
      </w:r>
    </w:p>
    <w:p w14:paraId="2264D053" w14:textId="20983122" w:rsidR="004B4E28" w:rsidRDefault="006F0034" w:rsidP="00C12F98">
      <w:pPr>
        <w:spacing w:after="34" w:line="259" w:lineRule="auto"/>
        <w:ind w:left="958" w:firstLine="0"/>
        <w:jc w:val="center"/>
        <w:rPr>
          <w:b/>
          <w:sz w:val="44"/>
        </w:rPr>
      </w:pPr>
      <w:r>
        <w:rPr>
          <w:b/>
          <w:sz w:val="44"/>
        </w:rPr>
        <w:t>Materiał informacyjny</w:t>
      </w:r>
      <w:r w:rsidR="00C12F98">
        <w:rPr>
          <w:b/>
          <w:sz w:val="44"/>
        </w:rPr>
        <w:t xml:space="preserve"> PUP w Słupsku</w:t>
      </w:r>
    </w:p>
    <w:p w14:paraId="0F94207D" w14:textId="4B269667" w:rsidR="00136435" w:rsidRDefault="006F0034" w:rsidP="00C12F98">
      <w:pPr>
        <w:spacing w:after="34" w:line="259" w:lineRule="auto"/>
        <w:ind w:left="958" w:firstLine="0"/>
        <w:jc w:val="center"/>
      </w:pPr>
      <w:r>
        <w:rPr>
          <w:b/>
          <w:sz w:val="44"/>
        </w:rPr>
        <w:t>dla Wnioskodawcy</w:t>
      </w:r>
      <w:r w:rsidR="004B4E28">
        <w:rPr>
          <w:b/>
          <w:sz w:val="44"/>
        </w:rPr>
        <w:t>/Podmiotu</w:t>
      </w:r>
    </w:p>
    <w:p w14:paraId="40AF109C" w14:textId="0B2143B1" w:rsidR="00136435" w:rsidRDefault="006F0034" w:rsidP="00C12F98">
      <w:pPr>
        <w:spacing w:after="230" w:line="259" w:lineRule="auto"/>
        <w:ind w:left="0" w:right="620" w:firstLine="0"/>
        <w:jc w:val="center"/>
      </w:pPr>
      <w:r>
        <w:rPr>
          <w:b/>
          <w:sz w:val="44"/>
        </w:rPr>
        <w:t>(</w:t>
      </w:r>
      <w:r>
        <w:rPr>
          <w:b/>
          <w:i/>
          <w:sz w:val="44"/>
        </w:rPr>
        <w:t>do stosowania</w:t>
      </w:r>
      <w:r w:rsidR="00C12F98">
        <w:rPr>
          <w:b/>
          <w:i/>
          <w:sz w:val="44"/>
        </w:rPr>
        <w:t xml:space="preserve"> wyboru</w:t>
      </w:r>
      <w:r>
        <w:rPr>
          <w:b/>
          <w:i/>
          <w:sz w:val="44"/>
        </w:rPr>
        <w:t xml:space="preserve"> priorytetów wydatkowania</w:t>
      </w:r>
      <w:r w:rsidR="00C12F98">
        <w:rPr>
          <w:b/>
          <w:i/>
          <w:sz w:val="44"/>
        </w:rPr>
        <w:t xml:space="preserve"> środków </w:t>
      </w:r>
      <w:r>
        <w:rPr>
          <w:b/>
          <w:i/>
          <w:sz w:val="44"/>
        </w:rPr>
        <w:t>KFS</w:t>
      </w:r>
      <w:r w:rsidR="00C12F98">
        <w:rPr>
          <w:b/>
          <w:i/>
          <w:sz w:val="44"/>
        </w:rPr>
        <w:t xml:space="preserve"> w 2026 r.</w:t>
      </w:r>
      <w:r>
        <w:rPr>
          <w:b/>
          <w:i/>
          <w:sz w:val="44"/>
        </w:rPr>
        <w:t>)</w:t>
      </w:r>
    </w:p>
    <w:p w14:paraId="171D092A" w14:textId="77777777" w:rsidR="00136435" w:rsidRDefault="006F0034">
      <w:pPr>
        <w:spacing w:after="233" w:line="259" w:lineRule="auto"/>
        <w:ind w:left="0" w:firstLine="0"/>
        <w:jc w:val="left"/>
      </w:pPr>
      <w:r>
        <w:rPr>
          <w:sz w:val="44"/>
        </w:rPr>
        <w:t xml:space="preserve"> </w:t>
      </w:r>
    </w:p>
    <w:p w14:paraId="4FF55797" w14:textId="77777777" w:rsidR="00136435" w:rsidRDefault="006F0034">
      <w:pPr>
        <w:spacing w:after="46" w:line="259" w:lineRule="auto"/>
        <w:ind w:left="0" w:firstLine="0"/>
        <w:jc w:val="left"/>
      </w:pPr>
      <w:r>
        <w:rPr>
          <w:sz w:val="44"/>
        </w:rPr>
        <w:t xml:space="preserve"> </w:t>
      </w:r>
    </w:p>
    <w:p w14:paraId="122E12B3" w14:textId="77777777" w:rsidR="00136435" w:rsidRDefault="006F0034">
      <w:pPr>
        <w:spacing w:after="216" w:line="259" w:lineRule="auto"/>
        <w:ind w:left="0" w:firstLine="0"/>
        <w:jc w:val="left"/>
      </w:pPr>
      <w:r>
        <w:t xml:space="preserve"> </w:t>
      </w:r>
    </w:p>
    <w:p w14:paraId="0C902483" w14:textId="77777777" w:rsidR="00136435" w:rsidRDefault="006F0034">
      <w:pPr>
        <w:spacing w:after="218" w:line="259" w:lineRule="auto"/>
        <w:ind w:left="0" w:firstLine="0"/>
        <w:jc w:val="left"/>
      </w:pPr>
      <w:r>
        <w:t xml:space="preserve"> </w:t>
      </w:r>
    </w:p>
    <w:p w14:paraId="10D57402" w14:textId="77777777" w:rsidR="00136435" w:rsidRDefault="006F0034">
      <w:pPr>
        <w:spacing w:after="216" w:line="259" w:lineRule="auto"/>
        <w:ind w:left="0" w:firstLine="0"/>
        <w:jc w:val="left"/>
      </w:pPr>
      <w:r>
        <w:t xml:space="preserve"> </w:t>
      </w:r>
    </w:p>
    <w:p w14:paraId="67D02FF7" w14:textId="77777777" w:rsidR="00136435" w:rsidRDefault="006F0034">
      <w:pPr>
        <w:spacing w:after="223" w:line="259" w:lineRule="auto"/>
        <w:ind w:left="0" w:firstLine="0"/>
        <w:jc w:val="left"/>
      </w:pPr>
      <w:r>
        <w:t xml:space="preserve"> </w:t>
      </w:r>
    </w:p>
    <w:p w14:paraId="38CCFC42" w14:textId="77777777" w:rsidR="00136435" w:rsidRDefault="006F0034">
      <w:pPr>
        <w:spacing w:after="216" w:line="259" w:lineRule="auto"/>
        <w:ind w:left="0" w:firstLine="0"/>
        <w:jc w:val="left"/>
      </w:pPr>
      <w:r>
        <w:rPr>
          <w:b/>
        </w:rPr>
        <w:t xml:space="preserve"> </w:t>
      </w:r>
    </w:p>
    <w:p w14:paraId="2AF64E8A" w14:textId="77777777" w:rsidR="00136435" w:rsidRDefault="006F0034">
      <w:pPr>
        <w:spacing w:after="218" w:line="259" w:lineRule="auto"/>
        <w:ind w:left="0" w:firstLine="0"/>
        <w:jc w:val="left"/>
      </w:pPr>
      <w:r>
        <w:rPr>
          <w:b/>
        </w:rPr>
        <w:t xml:space="preserve"> </w:t>
      </w:r>
    </w:p>
    <w:p w14:paraId="462FC073" w14:textId="77777777" w:rsidR="00136435" w:rsidRDefault="006F0034">
      <w:pPr>
        <w:spacing w:after="218" w:line="259" w:lineRule="auto"/>
        <w:ind w:left="0" w:firstLine="0"/>
        <w:jc w:val="left"/>
      </w:pPr>
      <w:r>
        <w:rPr>
          <w:b/>
        </w:rPr>
        <w:t xml:space="preserve"> </w:t>
      </w:r>
    </w:p>
    <w:p w14:paraId="30F6DE16" w14:textId="77777777" w:rsidR="00136435" w:rsidRDefault="006F0034">
      <w:pPr>
        <w:spacing w:after="216" w:line="259" w:lineRule="auto"/>
        <w:ind w:left="0" w:firstLine="0"/>
        <w:jc w:val="left"/>
      </w:pPr>
      <w:r>
        <w:rPr>
          <w:b/>
        </w:rPr>
        <w:t xml:space="preserve"> </w:t>
      </w:r>
    </w:p>
    <w:p w14:paraId="0FCC3E9A" w14:textId="2F9D39BB" w:rsidR="00136435" w:rsidRDefault="00136435" w:rsidP="004B4E28">
      <w:pPr>
        <w:spacing w:after="218" w:line="259" w:lineRule="auto"/>
        <w:ind w:left="0" w:firstLine="0"/>
        <w:jc w:val="left"/>
      </w:pPr>
    </w:p>
    <w:p w14:paraId="298A5763" w14:textId="2591BCA7" w:rsidR="00136435" w:rsidRDefault="00136435">
      <w:pPr>
        <w:spacing w:after="346" w:line="259" w:lineRule="auto"/>
        <w:ind w:left="0" w:firstLine="0"/>
        <w:jc w:val="left"/>
      </w:pPr>
    </w:p>
    <w:p w14:paraId="3B4748B5" w14:textId="75DC756D" w:rsidR="00136435" w:rsidRDefault="004B4E28">
      <w:pPr>
        <w:spacing w:after="0" w:line="259" w:lineRule="auto"/>
        <w:ind w:left="0" w:right="5" w:firstLine="0"/>
        <w:jc w:val="center"/>
      </w:pPr>
      <w:r>
        <w:rPr>
          <w:b/>
          <w:sz w:val="32"/>
        </w:rPr>
        <w:lastRenderedPageBreak/>
        <w:t>Słupsk</w:t>
      </w:r>
      <w:r w:rsidR="006F0034">
        <w:rPr>
          <w:b/>
          <w:sz w:val="32"/>
        </w:rPr>
        <w:t xml:space="preserve"> 2026 r. </w:t>
      </w:r>
    </w:p>
    <w:p w14:paraId="38BD1621" w14:textId="77777777" w:rsidR="00136435" w:rsidRDefault="006F0034">
      <w:pPr>
        <w:spacing w:after="240" w:line="259" w:lineRule="auto"/>
        <w:ind w:left="95" w:firstLine="0"/>
        <w:jc w:val="center"/>
      </w:pPr>
      <w:r>
        <w:rPr>
          <w:b/>
          <w:sz w:val="40"/>
        </w:rPr>
        <w:t xml:space="preserve"> </w:t>
      </w:r>
    </w:p>
    <w:p w14:paraId="025D12E1" w14:textId="77777777" w:rsidR="004B4E28" w:rsidRDefault="004B4E28" w:rsidP="004B4E28">
      <w:pPr>
        <w:pStyle w:val="Nagwek1"/>
        <w:numPr>
          <w:ilvl w:val="0"/>
          <w:numId w:val="0"/>
        </w:numPr>
      </w:pPr>
    </w:p>
    <w:p w14:paraId="5DB57637" w14:textId="77777777" w:rsidR="004B4E28" w:rsidRDefault="004B4E28" w:rsidP="004B4E28">
      <w:pPr>
        <w:pStyle w:val="Nagwek1"/>
        <w:numPr>
          <w:ilvl w:val="0"/>
          <w:numId w:val="0"/>
        </w:numPr>
      </w:pPr>
    </w:p>
    <w:p w14:paraId="334CA4B2" w14:textId="47A9F1FE" w:rsidR="004B4E28" w:rsidRPr="00BA776F" w:rsidRDefault="006F0034" w:rsidP="004B4E28">
      <w:pPr>
        <w:pStyle w:val="Nagwek1"/>
        <w:numPr>
          <w:ilvl w:val="0"/>
          <w:numId w:val="0"/>
        </w:numPr>
        <w:rPr>
          <w:sz w:val="24"/>
          <w:szCs w:val="16"/>
        </w:rPr>
      </w:pPr>
      <w:r w:rsidRPr="00BA776F">
        <w:rPr>
          <w:sz w:val="24"/>
          <w:szCs w:val="16"/>
        </w:rPr>
        <w:t>WSTĘP</w:t>
      </w:r>
      <w:r w:rsidRPr="00BA776F">
        <w:rPr>
          <w:sz w:val="20"/>
          <w:szCs w:val="16"/>
        </w:rPr>
        <w:t xml:space="preserve"> </w:t>
      </w:r>
    </w:p>
    <w:p w14:paraId="75A50960" w14:textId="77777777" w:rsidR="004B4E28" w:rsidRDefault="004B4E28" w:rsidP="004B4E28">
      <w:pPr>
        <w:tabs>
          <w:tab w:val="left" w:pos="851"/>
        </w:tabs>
        <w:spacing w:after="0" w:line="360" w:lineRule="auto"/>
        <w:ind w:left="360" w:firstLine="0"/>
      </w:pPr>
      <w:r w:rsidRPr="004B4E28">
        <w:rPr>
          <w:bCs/>
          <w:kern w:val="0"/>
          <w:sz w:val="22"/>
          <w:szCs w:val="22"/>
          <w:lang w:eastAsia="ar-SA"/>
        </w:rPr>
        <w:t xml:space="preserve">KFS to wydzielona część środków Funduszu Pracy określona w planie Funduszu Pracy na dany rok budżetowy, przeznaczona na wspomaganie podmiotów inwestujących w kształcenie ustawiczne osób pracujących, którego celem jest </w:t>
      </w:r>
      <w:r w:rsidRPr="004B4E28">
        <w:rPr>
          <w:bCs/>
          <w:kern w:val="0"/>
          <w:sz w:val="22"/>
          <w:szCs w:val="22"/>
        </w:rPr>
        <w:t>utrzymanie zatrudnienia i rozwój potencjału osób pracujących przez dostosowanie ich wiedzy, umiejętności lub kwalifikacji do wymagań zmieniającej się gospodarki.</w:t>
      </w:r>
    </w:p>
    <w:p w14:paraId="576591F9" w14:textId="77777777" w:rsidR="004B4E28" w:rsidRDefault="004B4E28" w:rsidP="004B4E28">
      <w:pPr>
        <w:spacing w:after="0" w:line="360" w:lineRule="auto"/>
        <w:ind w:left="360" w:right="53" w:firstLine="0"/>
      </w:pPr>
      <w:r w:rsidRPr="004B4E28">
        <w:rPr>
          <w:bCs/>
          <w:kern w:val="0"/>
          <w:sz w:val="22"/>
          <w:szCs w:val="22"/>
        </w:rPr>
        <w:t>Środki</w:t>
      </w:r>
      <w:r w:rsidRPr="004B4E28">
        <w:rPr>
          <w:sz w:val="22"/>
          <w:szCs w:val="22"/>
        </w:rPr>
        <w:t xml:space="preserve"> Funduszu Pracy w formie KFS przeznacza się na finansowanie działań na rzecz kształcenia ustawicznego osób świadczących pracę, a zatem oznacza to, że nabywane kompetencje muszą być bezpośrednio powiązane z zakresem zadań zawodowych/obowiązków na danym stanowisku, potrzebami biznesowymi lub planami zatrudnieniowymi wnioskodawcy.</w:t>
      </w:r>
    </w:p>
    <w:p w14:paraId="471C0036" w14:textId="77777777" w:rsidR="00BA776F" w:rsidRDefault="004B4E28" w:rsidP="004B4E28">
      <w:pPr>
        <w:tabs>
          <w:tab w:val="left" w:pos="993"/>
        </w:tabs>
        <w:spacing w:after="0" w:line="360" w:lineRule="auto"/>
        <w:ind w:left="851"/>
        <w:jc w:val="center"/>
        <w:rPr>
          <w:b/>
          <w:color w:val="auto"/>
          <w:kern w:val="0"/>
          <w14:ligatures w14:val="none"/>
        </w:rPr>
      </w:pPr>
      <w:r w:rsidRPr="00BA776F">
        <w:rPr>
          <w:sz w:val="28"/>
          <w:szCs w:val="28"/>
        </w:rPr>
        <w:t xml:space="preserve">      </w:t>
      </w:r>
      <w:r w:rsidRPr="00BA776F">
        <w:rPr>
          <w:b/>
          <w:color w:val="auto"/>
          <w:kern w:val="0"/>
          <w14:ligatures w14:val="none"/>
        </w:rPr>
        <w:t xml:space="preserve">Priorytety wydatkowania Krajowego Funduszu Szkoleniowego </w:t>
      </w:r>
    </w:p>
    <w:p w14:paraId="0D7B65BB" w14:textId="1F3ECBC5" w:rsidR="004B4E28" w:rsidRPr="00BA776F" w:rsidRDefault="004B4E28" w:rsidP="004B4E28">
      <w:pPr>
        <w:tabs>
          <w:tab w:val="left" w:pos="993"/>
        </w:tabs>
        <w:spacing w:after="0" w:line="360" w:lineRule="auto"/>
        <w:ind w:left="851"/>
        <w:jc w:val="center"/>
        <w:rPr>
          <w:b/>
          <w:color w:val="auto"/>
          <w:kern w:val="0"/>
          <w14:ligatures w14:val="none"/>
        </w:rPr>
      </w:pPr>
      <w:r w:rsidRPr="00BA776F">
        <w:rPr>
          <w:b/>
          <w:color w:val="auto"/>
          <w:kern w:val="0"/>
          <w14:ligatures w14:val="none"/>
        </w:rPr>
        <w:t>w PUP w Słupsku w 2026 r.</w:t>
      </w:r>
    </w:p>
    <w:p w14:paraId="7B182B13" w14:textId="77777777" w:rsidR="004B4E28" w:rsidRPr="004B4E28" w:rsidRDefault="004B4E28" w:rsidP="004B4E28">
      <w:pPr>
        <w:tabs>
          <w:tab w:val="left" w:pos="-21469"/>
        </w:tabs>
        <w:suppressAutoHyphens/>
        <w:autoSpaceDN w:val="0"/>
        <w:spacing w:after="0" w:line="360" w:lineRule="auto"/>
        <w:ind w:left="567" w:firstLine="0"/>
        <w:jc w:val="left"/>
        <w:textAlignment w:val="baseline"/>
        <w:rPr>
          <w:rFonts w:ascii="Calibri" w:eastAsia="Calibri" w:hAnsi="Calibri"/>
          <w:color w:val="auto"/>
          <w:kern w:val="3"/>
          <w:lang w:eastAsia="en-US"/>
          <w14:ligatures w14:val="none"/>
        </w:rPr>
      </w:pPr>
      <w:r w:rsidRPr="004B4E28">
        <w:rPr>
          <w:bCs/>
          <w:color w:val="auto"/>
          <w:kern w:val="0"/>
          <w:sz w:val="22"/>
          <w:szCs w:val="22"/>
          <w:lang w:eastAsia="ar-SA"/>
          <w14:ligatures w14:val="none"/>
        </w:rPr>
        <w:t>Przyznawanie środków KFS odbywa się zgodnie z ustalonym planem wydatkowania środków oraz:</w:t>
      </w:r>
    </w:p>
    <w:p w14:paraId="69397E9F" w14:textId="77777777" w:rsidR="004B4E28" w:rsidRPr="004B4E28" w:rsidRDefault="004B4E28" w:rsidP="004B4E28">
      <w:pPr>
        <w:numPr>
          <w:ilvl w:val="0"/>
          <w:numId w:val="10"/>
        </w:numPr>
        <w:tabs>
          <w:tab w:val="left" w:pos="-22516"/>
        </w:tabs>
        <w:suppressAutoHyphens/>
        <w:autoSpaceDN w:val="0"/>
        <w:spacing w:after="0" w:line="360" w:lineRule="auto"/>
        <w:ind w:left="567"/>
        <w:jc w:val="left"/>
        <w:textAlignment w:val="baseline"/>
        <w:rPr>
          <w:rFonts w:ascii="Calibri" w:eastAsia="Calibri" w:hAnsi="Calibri"/>
          <w:color w:val="auto"/>
          <w:kern w:val="3"/>
          <w:lang w:eastAsia="en-US"/>
          <w14:ligatures w14:val="none"/>
        </w:rPr>
      </w:pPr>
      <w:r w:rsidRPr="004B4E28">
        <w:rPr>
          <w:bCs/>
          <w:color w:val="auto"/>
          <w:kern w:val="0"/>
          <w:sz w:val="22"/>
          <w:szCs w:val="22"/>
          <w:lang w:eastAsia="ar-SA"/>
          <w14:ligatures w14:val="none"/>
        </w:rPr>
        <w:t xml:space="preserve"> z ogólnopolskimi priorytetami  określonymi przez  ministra właściwego do spraw pracy  </w:t>
      </w:r>
      <w:r w:rsidRPr="004B4E28">
        <w:rPr>
          <w:rFonts w:eastAsia="Calibri"/>
          <w:color w:val="auto"/>
          <w:kern w:val="3"/>
          <w:sz w:val="22"/>
          <w:szCs w:val="22"/>
          <w:lang w:eastAsia="en-US"/>
          <w14:ligatures w14:val="none"/>
        </w:rPr>
        <w:t>o których mowa w art. 25 ust. 1 pkt 1 lit. b ustawy;</w:t>
      </w:r>
    </w:p>
    <w:p w14:paraId="5DBB8A61" w14:textId="77777777" w:rsidR="004B4E28" w:rsidRPr="004B4E28" w:rsidRDefault="004B4E28" w:rsidP="004B4E28">
      <w:pPr>
        <w:numPr>
          <w:ilvl w:val="0"/>
          <w:numId w:val="10"/>
        </w:numPr>
        <w:tabs>
          <w:tab w:val="left" w:pos="-22516"/>
        </w:tabs>
        <w:suppressAutoHyphens/>
        <w:autoSpaceDN w:val="0"/>
        <w:spacing w:after="0" w:line="360" w:lineRule="auto"/>
        <w:ind w:left="567"/>
        <w:jc w:val="left"/>
        <w:textAlignment w:val="baseline"/>
        <w:rPr>
          <w:rFonts w:ascii="Calibri" w:eastAsia="Calibri" w:hAnsi="Calibri"/>
          <w:color w:val="auto"/>
          <w:kern w:val="3"/>
          <w:lang w:eastAsia="en-US"/>
          <w14:ligatures w14:val="none"/>
        </w:rPr>
      </w:pPr>
      <w:r w:rsidRPr="004B4E28">
        <w:rPr>
          <w:rFonts w:eastAsia="Calibri"/>
          <w:color w:val="auto"/>
          <w:kern w:val="3"/>
          <w:sz w:val="22"/>
          <w:szCs w:val="22"/>
          <w:lang w:eastAsia="en-US"/>
          <w14:ligatures w14:val="none"/>
        </w:rPr>
        <w:t xml:space="preserve">regionalnymi priorytetami </w:t>
      </w:r>
      <w:r w:rsidRPr="004B4E28">
        <w:rPr>
          <w:bCs/>
          <w:color w:val="auto"/>
          <w:kern w:val="0"/>
          <w:sz w:val="22"/>
          <w:szCs w:val="22"/>
          <w:lang w:eastAsia="ar-SA"/>
          <w14:ligatures w14:val="none"/>
        </w:rPr>
        <w:t>ustalonymi przez samorząd województwa na podstawie</w:t>
      </w:r>
      <w:r w:rsidRPr="004B4E28">
        <w:rPr>
          <w:rFonts w:eastAsia="Calibri"/>
          <w:color w:val="auto"/>
          <w:kern w:val="3"/>
          <w:sz w:val="22"/>
          <w:szCs w:val="22"/>
          <w:lang w:eastAsia="en-US"/>
          <w14:ligatures w14:val="none"/>
        </w:rPr>
        <w:t xml:space="preserve"> art. 32 ust.1 pkt 2 lit b i c ustawy</w:t>
      </w:r>
      <w:r w:rsidRPr="004B4E28">
        <w:rPr>
          <w:bCs/>
          <w:color w:val="auto"/>
          <w:kern w:val="0"/>
          <w:sz w:val="22"/>
          <w:szCs w:val="22"/>
          <w:lang w:eastAsia="ar-SA"/>
          <w14:ligatures w14:val="none"/>
        </w:rPr>
        <w:t>, oraz</w:t>
      </w:r>
      <w:r w:rsidRPr="004B4E28">
        <w:rPr>
          <w:rFonts w:eastAsia="Calibri"/>
          <w:color w:val="auto"/>
          <w:kern w:val="0"/>
          <w:sz w:val="22"/>
          <w:szCs w:val="22"/>
          <w:lang w:eastAsia="en-US"/>
          <w14:ligatures w14:val="none"/>
        </w:rPr>
        <w:t xml:space="preserve"> samorząd powiatu jak w art.</w:t>
      </w:r>
      <w:r w:rsidRPr="004B4E28">
        <w:rPr>
          <w:rFonts w:eastAsia="Calibri"/>
          <w:color w:val="auto"/>
          <w:kern w:val="3"/>
          <w:sz w:val="22"/>
          <w:szCs w:val="22"/>
          <w:lang w:eastAsia="en-US"/>
          <w14:ligatures w14:val="none"/>
        </w:rPr>
        <w:t xml:space="preserve"> art. 38 ust. 1 pkt 19 lit. b ustawy.</w:t>
      </w:r>
      <w:r w:rsidRPr="004B4E28">
        <w:rPr>
          <w:rFonts w:eastAsia="Calibri"/>
          <w:color w:val="auto"/>
          <w:kern w:val="0"/>
          <w:sz w:val="22"/>
          <w:szCs w:val="22"/>
          <w:lang w:eastAsia="en-US"/>
          <w14:ligatures w14:val="none"/>
        </w:rPr>
        <w:t xml:space="preserve"> </w:t>
      </w:r>
    </w:p>
    <w:p w14:paraId="7EB8854C" w14:textId="0BAA4C53" w:rsidR="004B4E28" w:rsidRPr="004B4E28" w:rsidRDefault="004B4E28" w:rsidP="004B4E28">
      <w:pPr>
        <w:shd w:val="clear" w:color="auto" w:fill="D0CECE" w:themeFill="background2" w:themeFillShade="E6"/>
        <w:tabs>
          <w:tab w:val="left" w:pos="-21469"/>
        </w:tabs>
        <w:suppressAutoHyphens/>
        <w:autoSpaceDN w:val="0"/>
        <w:spacing w:after="0" w:line="360" w:lineRule="auto"/>
        <w:ind w:left="567" w:firstLine="0"/>
        <w:jc w:val="center"/>
        <w:textAlignment w:val="baseline"/>
        <w:rPr>
          <w:rFonts w:ascii="Calibri" w:eastAsia="Calibri" w:hAnsi="Calibri"/>
          <w:color w:val="auto"/>
          <w:kern w:val="3"/>
          <w:sz w:val="28"/>
          <w:szCs w:val="28"/>
          <w:lang w:eastAsia="en-US"/>
          <w14:ligatures w14:val="none"/>
        </w:rPr>
      </w:pPr>
      <w:r w:rsidRPr="004B4E28">
        <w:rPr>
          <w:bCs/>
          <w:color w:val="auto"/>
          <w:kern w:val="0"/>
          <w14:ligatures w14:val="none"/>
        </w:rPr>
        <w:t>Priorytety</w:t>
      </w:r>
      <w:r w:rsidRPr="004B4E28">
        <w:rPr>
          <w:b/>
          <w:bCs/>
          <w:color w:val="auto"/>
          <w:kern w:val="0"/>
          <w14:ligatures w14:val="none"/>
        </w:rPr>
        <w:t xml:space="preserve"> wydatkowania Krajowego Funduszu Szkoleniowego w roku 2026 określone </w:t>
      </w:r>
      <w:r w:rsidR="00BA776F" w:rsidRPr="00BA776F">
        <w:rPr>
          <w:b/>
          <w:bCs/>
          <w:color w:val="auto"/>
          <w:kern w:val="0"/>
          <w14:ligatures w14:val="none"/>
        </w:rPr>
        <w:br/>
      </w:r>
      <w:r w:rsidRPr="004B4E28">
        <w:rPr>
          <w:b/>
          <w:bCs/>
          <w:color w:val="auto"/>
          <w:kern w:val="0"/>
          <w14:ligatures w14:val="none"/>
        </w:rPr>
        <w:t>przez Ministra do spraw pracy są następujące</w:t>
      </w:r>
      <w:r w:rsidRPr="004B4E28">
        <w:rPr>
          <w:b/>
          <w:bCs/>
          <w:color w:val="auto"/>
          <w:kern w:val="0"/>
          <w:lang w:eastAsia="ar-SA"/>
          <w14:ligatures w14:val="none"/>
        </w:rPr>
        <w:t>:</w:t>
      </w:r>
    </w:p>
    <w:p w14:paraId="07DEC18E" w14:textId="77777777" w:rsidR="004B4E28" w:rsidRPr="004B4E28" w:rsidRDefault="004B4E28" w:rsidP="004B4E28">
      <w:pPr>
        <w:numPr>
          <w:ilvl w:val="0"/>
          <w:numId w:val="11"/>
        </w:numPr>
        <w:suppressAutoHyphens/>
        <w:autoSpaceDN w:val="0"/>
        <w:spacing w:after="0" w:line="360" w:lineRule="auto"/>
        <w:jc w:val="left"/>
        <w:textAlignment w:val="baseline"/>
        <w:rPr>
          <w:color w:val="auto"/>
          <w:kern w:val="0"/>
          <w:sz w:val="22"/>
          <w:szCs w:val="22"/>
          <w14:ligatures w14:val="none"/>
        </w:rPr>
      </w:pPr>
      <w:r w:rsidRPr="004B4E28">
        <w:rPr>
          <w:color w:val="auto"/>
          <w:kern w:val="0"/>
          <w:sz w:val="22"/>
          <w:szCs w:val="22"/>
          <w14:ligatures w14:val="none"/>
        </w:rPr>
        <w:t xml:space="preserve">Poprawa zarządzania i komunikacji w firmie w oparciu o zasady przeciwdziałania dyskryminacji i </w:t>
      </w:r>
      <w:proofErr w:type="spellStart"/>
      <w:r w:rsidRPr="004B4E28">
        <w:rPr>
          <w:color w:val="auto"/>
          <w:kern w:val="0"/>
          <w:sz w:val="22"/>
          <w:szCs w:val="22"/>
          <w14:ligatures w14:val="none"/>
        </w:rPr>
        <w:t>mobbingowi</w:t>
      </w:r>
      <w:proofErr w:type="spellEnd"/>
      <w:r w:rsidRPr="004B4E28">
        <w:rPr>
          <w:color w:val="auto"/>
          <w:kern w:val="0"/>
          <w:sz w:val="22"/>
          <w:szCs w:val="22"/>
          <w14:ligatures w14:val="none"/>
        </w:rPr>
        <w:t>, rozwoju dialogu społecznego, partycypacji pracowniczej i wspierania integracji w miejscu pracy.</w:t>
      </w:r>
    </w:p>
    <w:p w14:paraId="07B40B54" w14:textId="77777777" w:rsidR="004B4E28" w:rsidRPr="004B4E28" w:rsidRDefault="004B4E28" w:rsidP="004B4E28">
      <w:pPr>
        <w:numPr>
          <w:ilvl w:val="0"/>
          <w:numId w:val="11"/>
        </w:numPr>
        <w:suppressAutoHyphens/>
        <w:autoSpaceDN w:val="0"/>
        <w:spacing w:after="0" w:line="360" w:lineRule="auto"/>
        <w:jc w:val="left"/>
        <w:textAlignment w:val="baseline"/>
        <w:rPr>
          <w:rFonts w:eastAsia="Calibri"/>
          <w:color w:val="auto"/>
          <w:kern w:val="0"/>
          <w:sz w:val="22"/>
          <w:szCs w:val="22"/>
          <w:lang w:eastAsia="en-US"/>
          <w14:ligatures w14:val="none"/>
        </w:rPr>
      </w:pPr>
      <w:r w:rsidRPr="004B4E28">
        <w:rPr>
          <w:rFonts w:eastAsia="Calibri"/>
          <w:color w:val="auto"/>
          <w:kern w:val="0"/>
          <w:sz w:val="22"/>
          <w:szCs w:val="22"/>
          <w:lang w:eastAsia="en-US"/>
          <w14:ligatures w14:val="none"/>
        </w:rPr>
        <w:t xml:space="preserve">Wsparcie rozwoju umiejętności i kwalifikacji w zawodach określonych jako deficytowe na danym terenie, tj. w powiecie lub w województwie. Tutejszy urząd pracy opiera się o wyniki Barometru zawodów na rok 2026, określone tylko dla powiatu słupskiego i miasta Słupsk, które są dostępne pod adresem:  </w:t>
      </w:r>
    </w:p>
    <w:p w14:paraId="21234579" w14:textId="77777777" w:rsidR="004B4E28" w:rsidRPr="004B4E28" w:rsidRDefault="004B4E28" w:rsidP="004B4E28">
      <w:pPr>
        <w:suppressAutoHyphens/>
        <w:autoSpaceDN w:val="0"/>
        <w:spacing w:after="0" w:line="360" w:lineRule="auto"/>
        <w:ind w:left="360" w:firstLine="0"/>
        <w:textAlignment w:val="baseline"/>
        <w:rPr>
          <w:rFonts w:ascii="Calibri" w:eastAsia="Calibri" w:hAnsi="Calibri"/>
          <w:color w:val="auto"/>
          <w:kern w:val="3"/>
          <w:lang w:eastAsia="en-US"/>
          <w14:ligatures w14:val="none"/>
        </w:rPr>
      </w:pPr>
      <w:hyperlink r:id="rId8" w:history="1">
        <w:r w:rsidRPr="004B4E28">
          <w:rPr>
            <w:color w:val="000080"/>
            <w:kern w:val="0"/>
            <w:sz w:val="22"/>
            <w:szCs w:val="22"/>
            <w:u w:val="single"/>
            <w14:ligatures w14:val="none"/>
          </w:rPr>
          <w:t>https://barometrzawodow.pl/modul/publikacje?publication=county&amp;province=11&amp;county=246&amp;year=2026</w:t>
        </w:r>
      </w:hyperlink>
      <w:r w:rsidRPr="004B4E28">
        <w:rPr>
          <w:color w:val="auto"/>
          <w:kern w:val="0"/>
          <w:sz w:val="22"/>
          <w:szCs w:val="22"/>
          <w14:ligatures w14:val="none"/>
        </w:rPr>
        <w:t xml:space="preserve">  </w:t>
      </w:r>
    </w:p>
    <w:p w14:paraId="612CF006" w14:textId="77777777" w:rsidR="004B4E28" w:rsidRPr="004B4E28" w:rsidRDefault="004B4E28" w:rsidP="004B4E28">
      <w:pPr>
        <w:numPr>
          <w:ilvl w:val="0"/>
          <w:numId w:val="11"/>
        </w:numPr>
        <w:suppressAutoHyphens/>
        <w:autoSpaceDN w:val="0"/>
        <w:spacing w:after="0" w:line="360" w:lineRule="auto"/>
        <w:jc w:val="left"/>
        <w:textAlignment w:val="baseline"/>
        <w:rPr>
          <w:color w:val="auto"/>
          <w:kern w:val="0"/>
          <w:sz w:val="22"/>
          <w:szCs w:val="22"/>
          <w14:ligatures w14:val="none"/>
        </w:rPr>
      </w:pPr>
      <w:r w:rsidRPr="004B4E28">
        <w:rPr>
          <w:color w:val="auto"/>
          <w:kern w:val="0"/>
          <w:sz w:val="22"/>
          <w:szCs w:val="22"/>
          <w14:ligatures w14:val="none"/>
        </w:rPr>
        <w:t>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p>
    <w:p w14:paraId="1400F172" w14:textId="77777777" w:rsidR="004B4E28" w:rsidRDefault="004B4E28" w:rsidP="004B4E28">
      <w:pPr>
        <w:numPr>
          <w:ilvl w:val="0"/>
          <w:numId w:val="11"/>
        </w:numPr>
        <w:suppressAutoHyphens/>
        <w:autoSpaceDN w:val="0"/>
        <w:spacing w:after="0" w:line="360" w:lineRule="auto"/>
        <w:jc w:val="left"/>
        <w:textAlignment w:val="baseline"/>
        <w:rPr>
          <w:color w:val="auto"/>
          <w:kern w:val="0"/>
          <w:sz w:val="22"/>
          <w:szCs w:val="22"/>
          <w14:ligatures w14:val="none"/>
        </w:rPr>
      </w:pPr>
      <w:r w:rsidRPr="004B4E28">
        <w:rPr>
          <w:color w:val="auto"/>
          <w:kern w:val="0"/>
          <w:sz w:val="22"/>
          <w:szCs w:val="22"/>
          <w14:ligatures w14:val="none"/>
        </w:rPr>
        <w:t xml:space="preserve">Wsparcie rozwoju umiejętności i kwalifikacji niezbędnych w sektorze usług zdrowotnych i opiekuńczych oraz wsparcie rozwoju umiejętności i kwalifikacji członków lub pracowników spółdzielni socjalnych oraz </w:t>
      </w:r>
      <w:r w:rsidRPr="004B4E28">
        <w:rPr>
          <w:color w:val="auto"/>
          <w:kern w:val="0"/>
          <w:sz w:val="22"/>
          <w:szCs w:val="22"/>
          <w14:ligatures w14:val="none"/>
        </w:rPr>
        <w:lastRenderedPageBreak/>
        <w:t xml:space="preserve">pracowników zatrudnionych w przedsiębiorstwach społecznych wskazanych na liście/rejestrze przedsiębiorstw społecznych prowadzonym przez </w:t>
      </w:r>
      <w:proofErr w:type="spellStart"/>
      <w:r w:rsidRPr="004B4E28">
        <w:rPr>
          <w:color w:val="auto"/>
          <w:kern w:val="0"/>
          <w:sz w:val="22"/>
          <w:szCs w:val="22"/>
          <w14:ligatures w14:val="none"/>
        </w:rPr>
        <w:t>MRPiPS</w:t>
      </w:r>
      <w:proofErr w:type="spellEnd"/>
      <w:r w:rsidRPr="004B4E28">
        <w:rPr>
          <w:color w:val="auto"/>
          <w:kern w:val="0"/>
          <w:sz w:val="22"/>
          <w:szCs w:val="22"/>
          <w14:ligatures w14:val="none"/>
        </w:rPr>
        <w:t>.</w:t>
      </w:r>
    </w:p>
    <w:p w14:paraId="75D94FB9" w14:textId="77777777" w:rsidR="00BA776F" w:rsidRDefault="00BA776F" w:rsidP="00BA776F">
      <w:pPr>
        <w:suppressAutoHyphens/>
        <w:autoSpaceDN w:val="0"/>
        <w:spacing w:after="0" w:line="360" w:lineRule="auto"/>
        <w:jc w:val="left"/>
        <w:textAlignment w:val="baseline"/>
        <w:rPr>
          <w:color w:val="auto"/>
          <w:kern w:val="0"/>
          <w:sz w:val="22"/>
          <w:szCs w:val="22"/>
          <w14:ligatures w14:val="none"/>
        </w:rPr>
      </w:pPr>
    </w:p>
    <w:p w14:paraId="6AC31BBC" w14:textId="77777777" w:rsidR="00BA776F" w:rsidRDefault="00BA776F" w:rsidP="00BA776F">
      <w:pPr>
        <w:suppressAutoHyphens/>
        <w:autoSpaceDN w:val="0"/>
        <w:spacing w:after="0" w:line="360" w:lineRule="auto"/>
        <w:jc w:val="left"/>
        <w:textAlignment w:val="baseline"/>
        <w:rPr>
          <w:color w:val="auto"/>
          <w:kern w:val="0"/>
          <w:sz w:val="22"/>
          <w:szCs w:val="22"/>
          <w14:ligatures w14:val="none"/>
        </w:rPr>
      </w:pPr>
    </w:p>
    <w:p w14:paraId="52313E9B" w14:textId="77777777" w:rsidR="00BA776F" w:rsidRPr="00BA776F" w:rsidRDefault="00BA776F" w:rsidP="00BA776F">
      <w:pPr>
        <w:spacing w:after="241" w:line="271" w:lineRule="auto"/>
        <w:ind w:left="-5"/>
        <w:jc w:val="left"/>
        <w:rPr>
          <w:u w:val="single"/>
        </w:rPr>
      </w:pPr>
      <w:r w:rsidRPr="00BA776F">
        <w:rPr>
          <w:b/>
          <w:u w:val="single"/>
        </w:rPr>
        <w:t xml:space="preserve">Priorytet nr 1: Poprawa zarządzania i komunikacji w firmie w oparciu o zasady przeciwdziałania dyskryminacji i </w:t>
      </w:r>
      <w:proofErr w:type="spellStart"/>
      <w:r w:rsidRPr="00BA776F">
        <w:rPr>
          <w:b/>
          <w:u w:val="single"/>
        </w:rPr>
        <w:t>mobbingowi</w:t>
      </w:r>
      <w:proofErr w:type="spellEnd"/>
      <w:r w:rsidRPr="00BA776F">
        <w:rPr>
          <w:b/>
          <w:u w:val="single"/>
        </w:rPr>
        <w:t xml:space="preserve">, rozwoju dialogu społecznego, partycypacji pracowniczej i wspierania integracji w miejscu pracy. </w:t>
      </w:r>
    </w:p>
    <w:p w14:paraId="463B9C9F" w14:textId="77777777" w:rsidR="00BA776F" w:rsidRDefault="00BA776F" w:rsidP="00BA776F">
      <w:pPr>
        <w:ind w:left="-5"/>
      </w:pPr>
      <w:proofErr w:type="spellStart"/>
      <w:r>
        <w:t>Mobbing</w:t>
      </w:r>
      <w:proofErr w:type="spellEnd"/>
      <w:r>
        <w:t xml:space="preserve"> i dyskryminacja to jedno z najpoważniejszych zagrożeń spotykanych w wielu firmach. Kreowanie bezpiecznego i wspierającego środowiska pracy jest kluczową rolą pracodawców, sprzyja efektywności pracowników. Dialog społeczny stanowi bardzo ważną funkcję w zapobieganiu tym zjawiskom. Poprzez współpracę między pracodawcami, pracownikami i związkami zawodowymi możliwe jest wykształcenie umiejętności identyfikowania oraz reagowania na </w:t>
      </w:r>
      <w:proofErr w:type="spellStart"/>
      <w:r>
        <w:t>mobbing</w:t>
      </w:r>
      <w:proofErr w:type="spellEnd"/>
      <w:r>
        <w:t xml:space="preserve"> i dyskryminację na każdym szczeblu organizacyjnym, co przyczynia się do budowania kultur organizacyjnych opartych na szacunku i równości. </w:t>
      </w:r>
    </w:p>
    <w:p w14:paraId="77F45135" w14:textId="77777777" w:rsidR="00BA776F" w:rsidRDefault="00BA776F" w:rsidP="00BA776F">
      <w:pPr>
        <w:spacing w:after="64" w:line="259" w:lineRule="auto"/>
        <w:ind w:left="0" w:firstLine="0"/>
        <w:jc w:val="left"/>
      </w:pPr>
      <w:r>
        <w:t xml:space="preserve"> </w:t>
      </w:r>
    </w:p>
    <w:p w14:paraId="72DC4919" w14:textId="77777777" w:rsidR="00BA776F" w:rsidRDefault="00BA776F" w:rsidP="00BA776F">
      <w:pPr>
        <w:spacing w:after="50"/>
        <w:ind w:left="-5"/>
      </w:pPr>
      <w:r>
        <w:t xml:space="preserve">Szkolenia powinny zatem zawierać tematykę, w ramach której pracodawcy i pracownicy zostaną wyposażeni w wiedzę i umiejętności m.in.: </w:t>
      </w:r>
    </w:p>
    <w:p w14:paraId="07ED4530" w14:textId="77777777" w:rsidR="00BA776F" w:rsidRDefault="00BA776F" w:rsidP="00432BBB">
      <w:pPr>
        <w:numPr>
          <w:ilvl w:val="0"/>
          <w:numId w:val="17"/>
        </w:numPr>
        <w:spacing w:after="50"/>
        <w:ind w:hanging="240"/>
      </w:pPr>
      <w:r>
        <w:t xml:space="preserve">do rozpoznawania, rozumienia i przeciwdziałania </w:t>
      </w:r>
      <w:proofErr w:type="spellStart"/>
      <w:r>
        <w:t>mobbingowi</w:t>
      </w:r>
      <w:proofErr w:type="spellEnd"/>
      <w:r>
        <w:t xml:space="preserve"> w miejscu pracy, co zwiększy ich uważność na sposób komunikacji i budowania relacji w ich zespołach, </w:t>
      </w:r>
    </w:p>
    <w:p w14:paraId="3483F4B7" w14:textId="77777777" w:rsidR="00BA776F" w:rsidRDefault="00BA776F" w:rsidP="00432BBB">
      <w:pPr>
        <w:numPr>
          <w:ilvl w:val="0"/>
          <w:numId w:val="17"/>
        </w:numPr>
        <w:spacing w:after="50"/>
        <w:ind w:hanging="240"/>
      </w:pPr>
      <w:r>
        <w:t xml:space="preserve">dotyczące różnych formy </w:t>
      </w:r>
      <w:proofErr w:type="spellStart"/>
      <w:r>
        <w:t>mobbingu</w:t>
      </w:r>
      <w:proofErr w:type="spellEnd"/>
      <w:r>
        <w:t xml:space="preserve">, jak zrozumieć jego wpływ na zespół oraz jak skutecznie reagować i zapobiegać sytuacjom o charakterze </w:t>
      </w:r>
      <w:proofErr w:type="spellStart"/>
      <w:r>
        <w:t>mobbingu</w:t>
      </w:r>
      <w:proofErr w:type="spellEnd"/>
      <w:r>
        <w:t xml:space="preserve"> w przyszłości, </w:t>
      </w:r>
    </w:p>
    <w:p w14:paraId="454FE5C0" w14:textId="77777777" w:rsidR="00BA776F" w:rsidRDefault="00BA776F" w:rsidP="00432BBB">
      <w:pPr>
        <w:numPr>
          <w:ilvl w:val="0"/>
          <w:numId w:val="17"/>
        </w:numPr>
        <w:spacing w:after="52"/>
        <w:ind w:hanging="240"/>
      </w:pPr>
      <w:r>
        <w:t xml:space="preserve">rozpoznawania/uważności (szczególnie menedżerowie/pracodawcy) na zachowania i relacje  w zespołach. </w:t>
      </w:r>
    </w:p>
    <w:p w14:paraId="252DC55A" w14:textId="77777777" w:rsidR="00BA776F" w:rsidRDefault="00BA776F" w:rsidP="00432BBB">
      <w:pPr>
        <w:numPr>
          <w:ilvl w:val="0"/>
          <w:numId w:val="17"/>
        </w:numPr>
        <w:ind w:hanging="240"/>
      </w:pPr>
      <w:r>
        <w:t xml:space="preserve">do promowania bezpiecznego i wspierającego środowiska pracy </w:t>
      </w:r>
    </w:p>
    <w:p w14:paraId="67F8D5ED" w14:textId="77777777" w:rsidR="00BA776F" w:rsidRDefault="00BA776F" w:rsidP="00432BBB">
      <w:pPr>
        <w:numPr>
          <w:ilvl w:val="0"/>
          <w:numId w:val="17"/>
        </w:numPr>
        <w:spacing w:after="34"/>
        <w:ind w:hanging="240"/>
      </w:pPr>
      <w:r>
        <w:t xml:space="preserve">na temat skutków społecznych i prawnych </w:t>
      </w:r>
      <w:proofErr w:type="spellStart"/>
      <w:r>
        <w:t>mobbingu</w:t>
      </w:r>
      <w:proofErr w:type="spellEnd"/>
      <w:r>
        <w:t xml:space="preserve"> lub dyskryminacji </w:t>
      </w:r>
    </w:p>
    <w:p w14:paraId="5033C2D5" w14:textId="77777777" w:rsidR="00BA776F" w:rsidRDefault="00BA776F" w:rsidP="00432BBB">
      <w:pPr>
        <w:numPr>
          <w:ilvl w:val="0"/>
          <w:numId w:val="17"/>
        </w:numPr>
        <w:ind w:hanging="240"/>
      </w:pPr>
      <w:r>
        <w:t xml:space="preserve">dotyczące wdrażania procedur przeciwdziałania i reagowania na przypadki nieprawidłowości. </w:t>
      </w:r>
    </w:p>
    <w:p w14:paraId="6CC64822" w14:textId="77777777" w:rsidR="00BA776F" w:rsidRDefault="00BA776F" w:rsidP="00BA776F">
      <w:pPr>
        <w:spacing w:after="64" w:line="259" w:lineRule="auto"/>
        <w:ind w:left="0" w:firstLine="0"/>
        <w:jc w:val="left"/>
      </w:pPr>
      <w:r>
        <w:t xml:space="preserve"> </w:t>
      </w:r>
    </w:p>
    <w:p w14:paraId="0DCA29A1" w14:textId="77777777" w:rsidR="00BA776F" w:rsidRDefault="00BA776F" w:rsidP="00BA776F">
      <w:pPr>
        <w:spacing w:after="191"/>
        <w:ind w:left="-5"/>
      </w:pPr>
      <w:r>
        <w:t xml:space="preserve">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 </w:t>
      </w:r>
    </w:p>
    <w:p w14:paraId="1FABC0E9" w14:textId="77777777" w:rsidR="00BA776F" w:rsidRDefault="00BA776F" w:rsidP="00BA776F">
      <w:pPr>
        <w:spacing w:after="201"/>
        <w:ind w:left="-5"/>
      </w:pPr>
      <w:r>
        <w:t xml:space="preserve">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powołania Rady Pracowników przez pracodawców zatrudniających co najmniej 50 pracowników lub na wniosek co najmniej 10% załogi, staje się jasne, jak kluczowe jest prawidłowe funkcjonowanie tych organów. </w:t>
      </w:r>
    </w:p>
    <w:p w14:paraId="1B145FB2" w14:textId="77777777" w:rsidR="00BA776F" w:rsidRDefault="00BA776F" w:rsidP="00BA776F">
      <w:pPr>
        <w:ind w:left="-5"/>
      </w:pPr>
      <w:r>
        <w:t xml:space="preserve">Rady Pracowników pełnią istotną rolę w zapewnianiu płynności komunikacji pomiędzy pracownikami a pracodawcą, szczególnie w przypadkach, gdzie związki zawodowe nie są obecne. </w:t>
      </w:r>
    </w:p>
    <w:p w14:paraId="77A7FA37" w14:textId="77777777" w:rsidR="00BA776F" w:rsidRPr="00432BBB" w:rsidRDefault="00BA776F" w:rsidP="00BA776F">
      <w:pPr>
        <w:spacing w:after="0" w:line="292" w:lineRule="auto"/>
        <w:ind w:left="-5" w:right="270"/>
        <w:jc w:val="left"/>
        <w:rPr>
          <w:u w:val="single"/>
        </w:rPr>
      </w:pPr>
      <w:r>
        <w:lastRenderedPageBreak/>
        <w:t xml:space="preserve">Priorytet adresowany do wszystkich zainteresowanych pracodawców. </w:t>
      </w:r>
      <w:r w:rsidRPr="00432BBB">
        <w:rPr>
          <w:u w:val="single"/>
        </w:rPr>
        <w:t xml:space="preserve">Nie ma znaczenia kod PKD czy profil działalności. Zachęca do tworzenia i oferuje wsparcie w zakresie zasad funkcjonowania  i działania rad pracowniczych – na poziomie unijnym i poszczególnych krajów UE. </w:t>
      </w:r>
    </w:p>
    <w:p w14:paraId="023705EC" w14:textId="77777777" w:rsidR="00BA776F" w:rsidRDefault="00BA776F" w:rsidP="00BA776F">
      <w:pPr>
        <w:spacing w:after="72" w:line="259" w:lineRule="auto"/>
        <w:ind w:left="0" w:firstLine="0"/>
        <w:jc w:val="left"/>
      </w:pPr>
      <w:r>
        <w:t xml:space="preserve"> </w:t>
      </w:r>
    </w:p>
    <w:p w14:paraId="1DFC3925" w14:textId="77777777" w:rsidR="00432BBB" w:rsidRPr="00432BBB" w:rsidRDefault="00BA776F" w:rsidP="00432BBB">
      <w:pPr>
        <w:suppressAutoHyphens/>
        <w:autoSpaceDN w:val="0"/>
        <w:spacing w:after="0" w:line="360" w:lineRule="auto"/>
        <w:textAlignment w:val="baseline"/>
        <w:rPr>
          <w:rFonts w:eastAsia="Calibri"/>
          <w:color w:val="auto"/>
          <w:kern w:val="0"/>
          <w:sz w:val="22"/>
          <w:szCs w:val="22"/>
          <w:lang w:eastAsia="en-US"/>
          <w14:ligatures w14:val="none"/>
        </w:rPr>
      </w:pPr>
      <w:r w:rsidRPr="00BA776F">
        <w:rPr>
          <w:b/>
          <w:u w:val="single"/>
        </w:rPr>
        <w:t xml:space="preserve">Priorytet nr 2: </w:t>
      </w:r>
      <w:r w:rsidR="00432BBB" w:rsidRPr="00432BBB">
        <w:rPr>
          <w:rFonts w:eastAsia="Calibri"/>
          <w:b/>
          <w:bCs/>
          <w:color w:val="auto"/>
          <w:kern w:val="0"/>
          <w:sz w:val="22"/>
          <w:szCs w:val="22"/>
          <w:u w:val="single"/>
          <w:lang w:eastAsia="en-US"/>
          <w14:ligatures w14:val="none"/>
        </w:rPr>
        <w:t>Wsparcie rozwoju umiejętności i kwalifikacji w zawodach określonych jako deficytowe na danym terenie, tj. w powiecie lub w województwie. Tutejszy urząd pracy opiera się o wyniki Barometru zawodów na rok 2026, określone tylko dla powiatu słupskiego i miasta Słupsk, które są dostępne pod adresem:</w:t>
      </w:r>
      <w:r w:rsidR="00432BBB" w:rsidRPr="00432BBB">
        <w:rPr>
          <w:rFonts w:eastAsia="Calibri"/>
          <w:color w:val="auto"/>
          <w:kern w:val="0"/>
          <w:sz w:val="22"/>
          <w:szCs w:val="22"/>
          <w:lang w:eastAsia="en-US"/>
          <w14:ligatures w14:val="none"/>
        </w:rPr>
        <w:t xml:space="preserve">  </w:t>
      </w:r>
    </w:p>
    <w:p w14:paraId="70290D51" w14:textId="77777777" w:rsidR="00432BBB" w:rsidRPr="00432BBB" w:rsidRDefault="00432BBB" w:rsidP="00432BBB">
      <w:pPr>
        <w:suppressAutoHyphens/>
        <w:autoSpaceDN w:val="0"/>
        <w:spacing w:after="0" w:line="360" w:lineRule="auto"/>
        <w:ind w:left="360" w:firstLine="0"/>
        <w:textAlignment w:val="baseline"/>
        <w:rPr>
          <w:rFonts w:ascii="Calibri" w:eastAsia="Calibri" w:hAnsi="Calibri"/>
          <w:color w:val="auto"/>
          <w:kern w:val="3"/>
          <w:lang w:eastAsia="en-US"/>
          <w14:ligatures w14:val="none"/>
        </w:rPr>
      </w:pPr>
      <w:hyperlink r:id="rId9" w:history="1">
        <w:r w:rsidRPr="00432BBB">
          <w:rPr>
            <w:color w:val="000080"/>
            <w:kern w:val="0"/>
            <w:sz w:val="22"/>
            <w:szCs w:val="22"/>
            <w:u w:val="single"/>
            <w14:ligatures w14:val="none"/>
          </w:rPr>
          <w:t>https://barometrzawodow.pl/modul/publikacje?publication=county&amp;province=11&amp;county=246&amp;year=2026</w:t>
        </w:r>
      </w:hyperlink>
      <w:r w:rsidRPr="00432BBB">
        <w:rPr>
          <w:color w:val="auto"/>
          <w:kern w:val="0"/>
          <w:sz w:val="22"/>
          <w:szCs w:val="22"/>
          <w14:ligatures w14:val="none"/>
        </w:rPr>
        <w:t xml:space="preserve">  </w:t>
      </w:r>
    </w:p>
    <w:p w14:paraId="555B437F" w14:textId="77777777" w:rsidR="00432BBB" w:rsidRDefault="00432BBB" w:rsidP="00432BBB">
      <w:pPr>
        <w:spacing w:after="163" w:line="270" w:lineRule="auto"/>
        <w:ind w:left="142" w:right="53"/>
        <w:rPr>
          <w:rFonts w:ascii="Calibri" w:eastAsia="Calibri" w:hAnsi="Calibri" w:cs="Calibri"/>
          <w:sz w:val="22"/>
        </w:rPr>
      </w:pPr>
    </w:p>
    <w:p w14:paraId="49D88CD2" w14:textId="211A146F" w:rsidR="00432BBB" w:rsidRPr="00432BBB" w:rsidRDefault="00432BBB" w:rsidP="00432BBB">
      <w:pPr>
        <w:spacing w:after="0" w:line="360" w:lineRule="auto"/>
        <w:ind w:left="0" w:right="53"/>
        <w:rPr>
          <w:rFonts w:eastAsia="Calibri"/>
        </w:rPr>
      </w:pPr>
      <w:r w:rsidRPr="00432BBB">
        <w:rPr>
          <w:rFonts w:eastAsia="Calibri"/>
        </w:rPr>
        <w:t xml:space="preserve">Przyjęcie niniejszego priorytetu pozwala na sfinansowanie kształcenia ustawicznego w zakresie umiejętności </w:t>
      </w:r>
      <w:proofErr w:type="spellStart"/>
      <w:r w:rsidRPr="00432BBB">
        <w:rPr>
          <w:rFonts w:eastAsia="Calibri"/>
        </w:rPr>
        <w:t>ogólno</w:t>
      </w:r>
      <w:proofErr w:type="spellEnd"/>
      <w:r w:rsidRPr="00432BBB">
        <w:rPr>
          <w:rFonts w:eastAsia="Calibri"/>
        </w:rPr>
        <w:t xml:space="preserve">-zawodowych (w tym tzw. kompetencji miękkich), o ile powiązane są one z wykonywaniem pracy w zawodzie deficytowym. </w:t>
      </w:r>
    </w:p>
    <w:p w14:paraId="09584387" w14:textId="676DF8FD" w:rsidR="00BA776F" w:rsidRDefault="00BA776F" w:rsidP="00432BBB">
      <w:pPr>
        <w:spacing w:after="0" w:line="360" w:lineRule="auto"/>
        <w:ind w:left="0" w:firstLine="0"/>
      </w:pPr>
      <w:r>
        <w:t xml:space="preserve">Wnioskodawca, który chce spełnić wymagania niniejszego priorytetu powinien udowodnić, że wskazana forma kształcenia ustawicznego dotyczy zawodu deficytowego na terenie, </w:t>
      </w:r>
      <w:r w:rsidR="0049144C">
        <w:t>P</w:t>
      </w:r>
      <w:r>
        <w:t xml:space="preserve">owiatu </w:t>
      </w:r>
      <w:r w:rsidR="0049144C">
        <w:t>S</w:t>
      </w:r>
      <w:r w:rsidR="00432BBB">
        <w:t>łupskiego</w:t>
      </w:r>
      <w:r>
        <w:t xml:space="preserve"> lub</w:t>
      </w:r>
      <w:r w:rsidR="00432BBB">
        <w:t xml:space="preserve"> Miasta Słupsk</w:t>
      </w:r>
      <w:r>
        <w:t>. Oznacza to zawód deficytowy zidentyfikowany  w oparciu m.in. o „Barometr zawodów” (Prognoza na rok 2026</w:t>
      </w:r>
      <w:r w:rsidR="0049144C">
        <w:t xml:space="preserve"> ww. link do strony</w:t>
      </w:r>
      <w:r>
        <w:t>). P</w:t>
      </w:r>
      <w:r w:rsidR="0049144C">
        <w:t>odmiot</w:t>
      </w:r>
      <w:r>
        <w:t xml:space="preserve"> wnioskujący o dofinansowanie kształcenia ustawicznego </w:t>
      </w:r>
      <w:r w:rsidR="0049144C">
        <w:t>osób</w:t>
      </w:r>
      <w:r>
        <w:t xml:space="preserve"> zatrudnionych na terenie innego powiatu lub województwa niż siedziba </w:t>
      </w:r>
      <w:r w:rsidR="0049144C">
        <w:t>P</w:t>
      </w:r>
      <w:r>
        <w:t xml:space="preserve">owiatowego </w:t>
      </w:r>
      <w:r w:rsidR="0049144C">
        <w:t>U</w:t>
      </w:r>
      <w:r>
        <w:t xml:space="preserve">rzędu </w:t>
      </w:r>
      <w:r w:rsidR="0049144C">
        <w:t>P</w:t>
      </w:r>
      <w:r>
        <w:t>racy</w:t>
      </w:r>
      <w:r w:rsidR="00432BBB">
        <w:t xml:space="preserve"> </w:t>
      </w:r>
      <w:r w:rsidR="0049144C">
        <w:t>w</w:t>
      </w:r>
      <w:r w:rsidR="00432BBB">
        <w:t xml:space="preserve"> Słupsku</w:t>
      </w:r>
      <w:r>
        <w:t xml:space="preserve">, w którym składany jest wniosek o dofinansowanie, powinien wykazać, że zawód jest deficytowy dla miejsca wykonywania pracy. Z dofinansowanych form kształcenia ustawicznego w ramach tego priorytetu mogą skorzystać zarówno osoby pracujące  w zawodach określonych jako deficytowe jak i osoby zamierzające wykonywać zadania związane  z zawodem deficytowym w przyszłości. </w:t>
      </w:r>
    </w:p>
    <w:p w14:paraId="1A234539" w14:textId="77777777" w:rsidR="00BA776F" w:rsidRDefault="00BA776F" w:rsidP="00BA776F">
      <w:pPr>
        <w:spacing w:after="57" w:line="259" w:lineRule="auto"/>
        <w:ind w:left="0" w:firstLine="0"/>
        <w:jc w:val="left"/>
      </w:pPr>
      <w:r>
        <w:t xml:space="preserve"> </w:t>
      </w:r>
    </w:p>
    <w:p w14:paraId="56235181" w14:textId="77777777" w:rsidR="00BA776F" w:rsidRDefault="00BA776F" w:rsidP="00BA776F">
      <w:pPr>
        <w:spacing w:after="0" w:line="289" w:lineRule="auto"/>
        <w:ind w:left="-5" w:right="-12"/>
      </w:pPr>
      <w:r w:rsidRPr="00BA776F">
        <w:rPr>
          <w:b/>
          <w:u w:val="single"/>
        </w:rPr>
        <w:t>Priorytet nr 3: 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r>
        <w:rPr>
          <w:b/>
        </w:rPr>
        <w:t xml:space="preserve">.  </w:t>
      </w:r>
    </w:p>
    <w:p w14:paraId="23FAABBD" w14:textId="77777777" w:rsidR="00BA776F" w:rsidRDefault="00BA776F" w:rsidP="00BA776F">
      <w:pPr>
        <w:spacing w:after="53" w:line="259" w:lineRule="auto"/>
        <w:ind w:left="0" w:firstLine="0"/>
        <w:jc w:val="left"/>
      </w:pPr>
      <w:r>
        <w:t xml:space="preserve"> </w:t>
      </w:r>
    </w:p>
    <w:p w14:paraId="78B535CD" w14:textId="0DBDFEA0" w:rsidR="00BA776F" w:rsidRDefault="00BA776F" w:rsidP="0049144C">
      <w:pPr>
        <w:ind w:left="-5"/>
      </w:pPr>
      <w:r>
        <w:t xml:space="preserve">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w:t>
      </w:r>
      <w:r>
        <w:tab/>
        <w:t xml:space="preserve">procesy </w:t>
      </w:r>
      <w:r>
        <w:tab/>
        <w:t xml:space="preserve">główne, </w:t>
      </w:r>
      <w:r>
        <w:tab/>
        <w:t xml:space="preserve">np. </w:t>
      </w:r>
      <w:r>
        <w:tab/>
        <w:t xml:space="preserve">księgowość, </w:t>
      </w:r>
      <w:r>
        <w:tab/>
        <w:t xml:space="preserve">rekrutacja, </w:t>
      </w:r>
      <w:r>
        <w:tab/>
        <w:t>wsparcie techniczne)</w:t>
      </w:r>
      <w:r w:rsidR="0049144C">
        <w:t xml:space="preserve"> </w:t>
      </w:r>
      <w:hyperlink r:id="rId10" w:history="1">
        <w:r w:rsidR="0049144C" w:rsidRPr="00180986">
          <w:rPr>
            <w:rStyle w:val="Hipercze"/>
          </w:rPr>
          <w:t>https://www.gov.pl/web/popcwsparcie/zarzadzanie</w:t>
        </w:r>
      </w:hyperlink>
      <w:hyperlink r:id="rId11">
        <w:r>
          <w:rPr>
            <w:color w:val="0563C1"/>
            <w:u w:val="single" w:color="0563C1"/>
          </w:rPr>
          <w:t>-</w:t>
        </w:r>
      </w:hyperlink>
      <w:hyperlink r:id="rId12">
        <w:r>
          <w:rPr>
            <w:color w:val="0563C1"/>
            <w:u w:val="single" w:color="0563C1"/>
          </w:rPr>
          <w:t>procesami</w:t>
        </w:r>
      </w:hyperlink>
      <w:hyperlink r:id="rId13">
        <w:r>
          <w:rPr>
            <w:color w:val="0563C1"/>
            <w:u w:val="single" w:color="0563C1"/>
          </w:rPr>
          <w:t>-</w:t>
        </w:r>
      </w:hyperlink>
      <w:hyperlink r:id="rId14">
        <w:r>
          <w:rPr>
            <w:color w:val="0563C1"/>
            <w:u w:val="single" w:color="0563C1"/>
          </w:rPr>
          <w:t>biznesowymi</w:t>
        </w:r>
      </w:hyperlink>
      <w:hyperlink r:id="rId15">
        <w:r>
          <w:rPr>
            <w:color w:val="0563C1"/>
            <w:u w:val="single" w:color="0563C1"/>
          </w:rPr>
          <w:t>-</w:t>
        </w:r>
      </w:hyperlink>
      <w:hyperlink r:id="rId16">
        <w:r>
          <w:rPr>
            <w:color w:val="0563C1"/>
            <w:u w:val="single" w:color="0563C1"/>
          </w:rPr>
          <w:t>bpm.</w:t>
        </w:r>
      </w:hyperlink>
      <w:hyperlink r:id="rId17">
        <w:r>
          <w:t xml:space="preserve"> </w:t>
        </w:r>
      </w:hyperlink>
      <w:r>
        <w:t xml:space="preserve"> </w:t>
      </w:r>
    </w:p>
    <w:p w14:paraId="5ADDF182" w14:textId="77777777" w:rsidR="00BA776F" w:rsidRDefault="00BA776F" w:rsidP="00BA776F">
      <w:pPr>
        <w:spacing w:after="64" w:line="259" w:lineRule="auto"/>
        <w:ind w:left="0" w:firstLine="0"/>
        <w:jc w:val="left"/>
      </w:pPr>
      <w:r>
        <w:t xml:space="preserve"> </w:t>
      </w:r>
    </w:p>
    <w:p w14:paraId="0F86E1C5" w14:textId="77777777" w:rsidR="00BA776F" w:rsidRDefault="00BA776F" w:rsidP="0049144C">
      <w:r>
        <w:lastRenderedPageBreak/>
        <w:t xml:space="preserve">Należy przy tym pamiętać,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t>scyfryzowanych</w:t>
      </w:r>
      <w:proofErr w:type="spellEnd"/>
      <w: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t>cyberbezpieczeństwem</w:t>
      </w:r>
      <w:proofErr w:type="spellEnd"/>
      <w: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i odnawialnych źródłach energii.  </w:t>
      </w:r>
    </w:p>
    <w:p w14:paraId="448FF85D" w14:textId="77777777" w:rsidR="00BA776F" w:rsidRDefault="00BA776F" w:rsidP="00BA776F">
      <w:pPr>
        <w:spacing w:after="49" w:line="259" w:lineRule="auto"/>
        <w:ind w:left="0" w:firstLine="0"/>
        <w:jc w:val="left"/>
      </w:pPr>
      <w:r>
        <w:t xml:space="preserve"> </w:t>
      </w:r>
    </w:p>
    <w:p w14:paraId="6237F1A8" w14:textId="77777777" w:rsidR="00BA776F" w:rsidRDefault="00BA776F" w:rsidP="00BA776F">
      <w:pPr>
        <w:ind w:left="-5"/>
      </w:pPr>
      <w:r>
        <w:t xml:space="preserve">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zwłaszcza związanymi z wykorzystaniem kompetencji cyfrowych czy zastosowaniem umiejętności zielonych. Należy jednak pamiętać, że wskazane wyżej terminy nie są sztywne. Ostateczna decyzja w tej sprawie należy do urzędu pracy i zależy przede wszystkim od jednostkowej oceny sytuacji (np. termin dostawy sprzętu, dostępne terminy szkolenia). </w:t>
      </w:r>
    </w:p>
    <w:p w14:paraId="173EAD20" w14:textId="77777777" w:rsidR="00BA776F" w:rsidRDefault="00BA776F" w:rsidP="00BA776F">
      <w:pPr>
        <w:ind w:left="-5"/>
      </w:pPr>
      <w:r>
        <w:t xml:space="preserve">Stosowna decyzja ma zostać podjęta na podstawie jakiegokolwiek wiarygodnego dla urzędu dokumentu dostarczonego przez wnioskodawcę, np. kopii dokumentów zakupu, decyzji dyrektora/ zarządu o wprowadzeniu norm ISO, itp., oraz logicznego i wiarygodnego uzasadnienia. </w:t>
      </w:r>
    </w:p>
    <w:p w14:paraId="5A845819" w14:textId="77777777" w:rsidR="00BA776F" w:rsidRPr="0049144C" w:rsidRDefault="00BA776F" w:rsidP="00BA776F">
      <w:pPr>
        <w:ind w:left="-5"/>
        <w:rPr>
          <w:u w:val="single"/>
        </w:rPr>
      </w:pPr>
      <w:r w:rsidRPr="0049144C">
        <w:rPr>
          <w:u w:val="single"/>
        </w:rPr>
        <w:t xml:space="preserve">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 </w:t>
      </w:r>
    </w:p>
    <w:p w14:paraId="2234AF1F" w14:textId="77777777" w:rsidR="00BA776F" w:rsidRDefault="00BA776F" w:rsidP="00BA776F">
      <w:pPr>
        <w:spacing w:after="62" w:line="259" w:lineRule="auto"/>
        <w:ind w:left="0" w:firstLine="0"/>
        <w:jc w:val="left"/>
      </w:pPr>
      <w:r>
        <w:t xml:space="preserve"> </w:t>
      </w:r>
    </w:p>
    <w:p w14:paraId="5A2EEB49" w14:textId="77777777" w:rsidR="00BA776F" w:rsidRPr="00BA776F" w:rsidRDefault="00BA776F" w:rsidP="00BA776F">
      <w:pPr>
        <w:spacing w:after="0" w:line="289" w:lineRule="auto"/>
        <w:ind w:left="-5" w:right="-12"/>
        <w:rPr>
          <w:u w:val="single"/>
        </w:rPr>
      </w:pPr>
      <w:r w:rsidRPr="00BA776F">
        <w:rPr>
          <w:b/>
          <w:u w:val="single"/>
        </w:rPr>
        <w:t xml:space="preserve">Priorytet nr 4: Wsparcie rozwoju umiejętności i kwalifikacji niezbędnych w sektorze usług zdrowotnych i opiekuńczych oraz wsparcie rozwoju umiejętności i kwalifikacji członków lub pracowników spółdzielni socjalnych oraz pracowników zatrudnionych w przedsiębiorstwach </w:t>
      </w:r>
      <w:r w:rsidRPr="00BA776F">
        <w:rPr>
          <w:b/>
          <w:u w:val="single"/>
        </w:rPr>
        <w:lastRenderedPageBreak/>
        <w:t xml:space="preserve">społecznych wskazanych na liście/rejestrze przedsiębiorstw społecznych prowadzonym przez </w:t>
      </w:r>
      <w:proofErr w:type="spellStart"/>
      <w:r w:rsidRPr="00BA776F">
        <w:rPr>
          <w:b/>
          <w:u w:val="single"/>
        </w:rPr>
        <w:t>MRPiPS</w:t>
      </w:r>
      <w:proofErr w:type="spellEnd"/>
      <w:r w:rsidRPr="00BA776F">
        <w:rPr>
          <w:b/>
          <w:u w:val="single"/>
        </w:rPr>
        <w:t xml:space="preserve">. </w:t>
      </w:r>
    </w:p>
    <w:p w14:paraId="5505441B" w14:textId="77777777" w:rsidR="00BA776F" w:rsidRDefault="00BA776F" w:rsidP="00BA776F">
      <w:pPr>
        <w:spacing w:after="56" w:line="259" w:lineRule="auto"/>
        <w:ind w:left="0" w:firstLine="0"/>
        <w:jc w:val="left"/>
      </w:pPr>
      <w:r>
        <w:rPr>
          <w:b/>
        </w:rPr>
        <w:t xml:space="preserve"> </w:t>
      </w:r>
    </w:p>
    <w:p w14:paraId="4612B1ED" w14:textId="77777777" w:rsidR="00BA776F" w:rsidRDefault="00BA776F" w:rsidP="00BA776F">
      <w:pPr>
        <w:ind w:left="-5"/>
      </w:pPr>
      <w:r>
        <w:t xml:space="preserve">Priorytet niniejszy składa się z dwóch odrębnych elementów adresowanych do odrębnych odbiorców. </w:t>
      </w:r>
    </w:p>
    <w:p w14:paraId="56409D13" w14:textId="77777777" w:rsidR="00BA776F" w:rsidRDefault="00BA776F" w:rsidP="00BA776F">
      <w:pPr>
        <w:spacing w:after="215"/>
        <w:ind w:left="-5"/>
      </w:pPr>
      <w:r w:rsidRPr="0049144C">
        <w:rPr>
          <w:u w:val="single"/>
        </w:rPr>
        <w:t>Pierwsza część adresowana jest do podmiotów działających w sektorze usług zdrowotnych  i opiekuńczych</w:t>
      </w:r>
      <w:r>
        <w:t xml:space="preserve">. Zgodnie z ustawą z dnia 15 kwietnia 2011 r. o działalności leczniczej świadczeniami zdrowotnymi są działania służące zachowaniu, ratowaniu, przywracaniu lub poprawie zdrowia oraz inne działania medyczne wynikające z procesu leczenia. Udzielanie świadczeń zdrowotnych odbywa się w ramach działalności leczniczej. </w:t>
      </w:r>
    </w:p>
    <w:p w14:paraId="07D6C2CA" w14:textId="77777777" w:rsidR="00BA776F" w:rsidRDefault="00BA776F" w:rsidP="00BA776F">
      <w:pPr>
        <w:ind w:left="-5"/>
      </w:pPr>
      <w:r>
        <w:t xml:space="preserve">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 </w:t>
      </w:r>
    </w:p>
    <w:p w14:paraId="54FB6D8A" w14:textId="77777777" w:rsidR="00BA776F" w:rsidRDefault="00BA776F" w:rsidP="00BA776F">
      <w:pPr>
        <w:ind w:left="-5"/>
      </w:pPr>
      <w:r>
        <w:t xml:space="preserve">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 Celem wprowadzenia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 Dostęp do priorytetu ma każdy pracodawca bądź prowadzący jednoosobową działalność gospodarczą posiadający PKD w Sekcji Q tj. Opieka zdrowotna i pomoc społeczna w działach 86 – Opieka zdrowotna, 87- 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 </w:t>
      </w:r>
    </w:p>
    <w:p w14:paraId="4CA61CC7" w14:textId="77777777" w:rsidR="00BA776F" w:rsidRPr="0049144C" w:rsidRDefault="00BA776F" w:rsidP="00BA776F">
      <w:pPr>
        <w:ind w:left="-5"/>
        <w:rPr>
          <w:u w:val="single"/>
        </w:rPr>
      </w:pPr>
      <w:r w:rsidRPr="0049144C">
        <w:rPr>
          <w:u w:val="single"/>
        </w:rPr>
        <w:t xml:space="preserve">Podmiotami uprawnionymi do korzystania z środków w ramach drugiej części niniejszego priorytetu są: </w:t>
      </w:r>
    </w:p>
    <w:p w14:paraId="1BAAC960" w14:textId="16682142" w:rsidR="00BA776F" w:rsidRDefault="00BA776F" w:rsidP="00BA776F">
      <w:pPr>
        <w:numPr>
          <w:ilvl w:val="0"/>
          <w:numId w:val="5"/>
        </w:numPr>
      </w:pPr>
      <w:r>
        <w:rPr>
          <w:b/>
        </w:rPr>
        <w:t>Przedsiębiorstwa społeczne</w:t>
      </w:r>
      <w:r>
        <w:t xml:space="preserve"> wpisane do wykazu przedsiębiorstw społecznych, który zgodnie z ustawą o ekonomii społecznej prowadzony jest przez </w:t>
      </w:r>
      <w:proofErr w:type="spellStart"/>
      <w:r>
        <w:t>MRPiPS</w:t>
      </w:r>
      <w:proofErr w:type="spellEnd"/>
      <w:r>
        <w:t xml:space="preserve"> w systemie Rejestr Jednostek Pomocy Społecznej (RJPS), pod adresem </w:t>
      </w:r>
      <w:r w:rsidR="0016661C">
        <w:t xml:space="preserve"> </w:t>
      </w:r>
      <w:hyperlink r:id="rId18" w:history="1">
        <w:r w:rsidR="00B50F38" w:rsidRPr="00180986">
          <w:rPr>
            <w:rStyle w:val="Hipercze"/>
          </w:rPr>
          <w:t>https://rjps.mrips.gov.pl/RJPS/WJ/start.do?wersja=1</w:t>
        </w:r>
      </w:hyperlink>
      <w:r w:rsidR="00B50F38">
        <w:t xml:space="preserve"> </w:t>
      </w:r>
      <w:r>
        <w:t xml:space="preserve">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pozarządowe (np. fundacje i stowarzyszenia), spółki </w:t>
      </w:r>
      <w:proofErr w:type="spellStart"/>
      <w:r>
        <w:t>nonprofit</w:t>
      </w:r>
      <w:proofErr w:type="spellEnd"/>
      <w:r>
        <w:t xml:space="preserve">, spółdzielnie socjalne, a także kościelne osoby prawne. </w:t>
      </w:r>
    </w:p>
    <w:p w14:paraId="01FC1B81" w14:textId="77777777" w:rsidR="00BA776F" w:rsidRDefault="00BA776F" w:rsidP="00BA776F">
      <w:pPr>
        <w:numPr>
          <w:ilvl w:val="0"/>
          <w:numId w:val="5"/>
        </w:numPr>
        <w:spacing w:after="171"/>
      </w:pPr>
      <w:r>
        <w:rPr>
          <w:b/>
        </w:rPr>
        <w:t>Spółdzielnie socjalne</w:t>
      </w:r>
      <w:r>
        <w:t xml:space="preserve"> – to podmioty wpisane do Krajowego Rejestru Sądowego, na tej podstawie można zweryfikować ich formę prawną. Spółdzielnie socjalne mogą uzyskać status przedsiębiorstwa </w:t>
      </w:r>
      <w:r>
        <w:lastRenderedPageBreak/>
        <w:t xml:space="preserve">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 </w:t>
      </w:r>
    </w:p>
    <w:p w14:paraId="3FB7DD1C" w14:textId="77777777" w:rsidR="00BA776F" w:rsidRDefault="00BA776F" w:rsidP="00BA776F">
      <w:pPr>
        <w:spacing w:after="0" w:line="292" w:lineRule="auto"/>
        <w:ind w:left="-5" w:right="14"/>
        <w:jc w:val="left"/>
      </w:pPr>
      <w:r>
        <w:t xml:space="preserve">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wszystkie formy kształcenia ustawicznego. Nie ma również znaczenia tematyka wnioskowanego szkolenia. Należy jedynie uzasadnić, że wnioskowana forma kształcenia ustawicznego niezbędna jest przy wykonywaniu obowiązków służbowych. </w:t>
      </w:r>
    </w:p>
    <w:p w14:paraId="1EF301CA" w14:textId="77777777" w:rsidR="00BA776F" w:rsidRDefault="00BA776F" w:rsidP="00BA776F">
      <w:pPr>
        <w:suppressAutoHyphens/>
        <w:autoSpaceDN w:val="0"/>
        <w:spacing w:after="0" w:line="360" w:lineRule="auto"/>
        <w:ind w:left="0" w:firstLine="0"/>
        <w:jc w:val="left"/>
        <w:textAlignment w:val="baseline"/>
        <w:rPr>
          <w:color w:val="auto"/>
          <w:kern w:val="0"/>
          <w:sz w:val="22"/>
          <w:szCs w:val="22"/>
          <w14:ligatures w14:val="none"/>
        </w:rPr>
      </w:pPr>
    </w:p>
    <w:p w14:paraId="4E594823" w14:textId="77777777" w:rsidR="00BA776F" w:rsidRPr="004B4E28" w:rsidRDefault="00BA776F" w:rsidP="00BA776F">
      <w:pPr>
        <w:suppressAutoHyphens/>
        <w:autoSpaceDN w:val="0"/>
        <w:spacing w:after="0" w:line="360" w:lineRule="auto"/>
        <w:jc w:val="left"/>
        <w:textAlignment w:val="baseline"/>
        <w:rPr>
          <w:color w:val="auto"/>
          <w:kern w:val="0"/>
          <w:sz w:val="22"/>
          <w:szCs w:val="22"/>
          <w14:ligatures w14:val="none"/>
        </w:rPr>
      </w:pPr>
    </w:p>
    <w:p w14:paraId="033B5F09" w14:textId="69E9D3C6" w:rsidR="004B4E28" w:rsidRPr="004B4E28" w:rsidRDefault="004B4E28" w:rsidP="004B4E28">
      <w:pPr>
        <w:shd w:val="clear" w:color="auto" w:fill="D0CECE" w:themeFill="background2" w:themeFillShade="E6"/>
        <w:suppressAutoHyphens/>
        <w:autoSpaceDN w:val="0"/>
        <w:spacing w:after="0" w:line="360" w:lineRule="auto"/>
        <w:ind w:left="756" w:firstLine="0"/>
        <w:jc w:val="center"/>
        <w:textAlignment w:val="baseline"/>
        <w:rPr>
          <w:b/>
          <w:bCs/>
          <w:color w:val="auto"/>
          <w:kern w:val="0"/>
          <w:sz w:val="22"/>
          <w:szCs w:val="22"/>
          <w14:ligatures w14:val="none"/>
        </w:rPr>
      </w:pPr>
      <w:r w:rsidRPr="004B4E28">
        <w:rPr>
          <w:b/>
          <w:bCs/>
          <w:color w:val="auto"/>
          <w:kern w:val="0"/>
          <w:sz w:val="22"/>
          <w:szCs w:val="22"/>
          <w14:ligatures w14:val="none"/>
        </w:rPr>
        <w:t>Regionalne priorytety wydatkowania Krajowego Funduszu Szkoleniowego w roku 2026 dla województwa pomorskiego są następujące:</w:t>
      </w:r>
    </w:p>
    <w:p w14:paraId="17B98DBA" w14:textId="77777777" w:rsidR="004B4E28" w:rsidRPr="004B4E28" w:rsidRDefault="004B4E28" w:rsidP="004B4E28">
      <w:pPr>
        <w:numPr>
          <w:ilvl w:val="0"/>
          <w:numId w:val="12"/>
        </w:numPr>
        <w:suppressAutoHyphens/>
        <w:autoSpaceDN w:val="0"/>
        <w:spacing w:after="0" w:line="360" w:lineRule="auto"/>
        <w:jc w:val="left"/>
        <w:textAlignment w:val="baseline"/>
        <w:rPr>
          <w:color w:val="auto"/>
          <w:kern w:val="0"/>
          <w:sz w:val="22"/>
          <w:szCs w:val="22"/>
          <w14:ligatures w14:val="none"/>
        </w:rPr>
      </w:pPr>
      <w:r w:rsidRPr="004B4E28">
        <w:rPr>
          <w:color w:val="auto"/>
          <w:kern w:val="0"/>
          <w:sz w:val="22"/>
          <w:szCs w:val="22"/>
          <w14:ligatures w14:val="none"/>
        </w:rPr>
        <w:t>Wsparcie transformacji w priorytetowych dla rozwoju województwa obszarach gospodarki obejmujących Inteligentne Specjalizacje Pomorza oraz branże kluczowe;</w:t>
      </w:r>
    </w:p>
    <w:p w14:paraId="447EC78E" w14:textId="77777777" w:rsidR="004B4E28" w:rsidRPr="004B4E28" w:rsidRDefault="004B4E28" w:rsidP="004B4E28">
      <w:pPr>
        <w:numPr>
          <w:ilvl w:val="0"/>
          <w:numId w:val="12"/>
        </w:numPr>
        <w:suppressAutoHyphens/>
        <w:autoSpaceDN w:val="0"/>
        <w:spacing w:after="0" w:line="360" w:lineRule="auto"/>
        <w:jc w:val="left"/>
        <w:textAlignment w:val="baseline"/>
        <w:rPr>
          <w:color w:val="auto"/>
          <w:kern w:val="0"/>
          <w:sz w:val="22"/>
          <w:szCs w:val="22"/>
          <w14:ligatures w14:val="none"/>
        </w:rPr>
      </w:pPr>
      <w:r w:rsidRPr="004B4E28">
        <w:rPr>
          <w:color w:val="auto"/>
          <w:kern w:val="0"/>
          <w:sz w:val="22"/>
          <w:szCs w:val="22"/>
          <w14:ligatures w14:val="none"/>
        </w:rPr>
        <w:t>Wsparcie wydłużania aktywności zawodowej poprzez kształcenie ustawiczne osób powyżej 45 roku życia;</w:t>
      </w:r>
    </w:p>
    <w:p w14:paraId="2ED6B74D" w14:textId="16FADE3C" w:rsidR="00136435" w:rsidRPr="00BA776F" w:rsidRDefault="004B4E28" w:rsidP="00BA776F">
      <w:pPr>
        <w:numPr>
          <w:ilvl w:val="0"/>
          <w:numId w:val="12"/>
        </w:numPr>
        <w:suppressAutoHyphens/>
        <w:autoSpaceDN w:val="0"/>
        <w:spacing w:after="0" w:line="360" w:lineRule="auto"/>
        <w:jc w:val="left"/>
        <w:textAlignment w:val="baseline"/>
        <w:rPr>
          <w:color w:val="auto"/>
          <w:kern w:val="0"/>
          <w:sz w:val="22"/>
          <w:szCs w:val="22"/>
          <w14:ligatures w14:val="none"/>
        </w:rPr>
      </w:pPr>
      <w:r w:rsidRPr="004B4E28">
        <w:rPr>
          <w:color w:val="auto"/>
          <w:kern w:val="0"/>
          <w:sz w:val="22"/>
          <w:szCs w:val="22"/>
          <w14:ligatures w14:val="none"/>
        </w:rPr>
        <w:t>Wzmocnienie odporności rynku pracy poprzez kształcenie ustawiczne w związku z występowaniem zdarzeń kryzysowych i sytuacji szczególnych, zwłaszcza gdy powyższe czynniki stanowią ryzyko utraty pracy.</w:t>
      </w:r>
    </w:p>
    <w:p w14:paraId="26EB24C7" w14:textId="0C1A8299" w:rsidR="00136435" w:rsidRDefault="00136435">
      <w:pPr>
        <w:spacing w:after="16" w:line="259" w:lineRule="auto"/>
        <w:ind w:left="0" w:firstLine="0"/>
        <w:jc w:val="left"/>
      </w:pPr>
    </w:p>
    <w:p w14:paraId="4EAD5F4E" w14:textId="77777777" w:rsidR="00136435" w:rsidRPr="00BA776F" w:rsidRDefault="006F0034" w:rsidP="00BA776F">
      <w:pPr>
        <w:spacing w:after="161" w:line="271" w:lineRule="auto"/>
        <w:ind w:left="0" w:firstLine="0"/>
        <w:jc w:val="left"/>
        <w:rPr>
          <w:u w:val="single"/>
        </w:rPr>
      </w:pPr>
      <w:r w:rsidRPr="00BA776F">
        <w:rPr>
          <w:b/>
          <w:u w:val="single"/>
        </w:rPr>
        <w:t xml:space="preserve">Priorytet nr 1: Wsparcie transformacji w priorytetowych dla rozwoju województwa obszarach gospodarki </w:t>
      </w:r>
      <w:r w:rsidRPr="003E194A">
        <w:rPr>
          <w:b/>
          <w:color w:val="000000" w:themeColor="text1"/>
          <w:u w:val="single"/>
        </w:rPr>
        <w:t xml:space="preserve">obejmujących </w:t>
      </w:r>
      <w:hyperlink r:id="rId19">
        <w:r w:rsidRPr="003E194A">
          <w:rPr>
            <w:b/>
            <w:color w:val="000000" w:themeColor="text1"/>
            <w:u w:val="single"/>
          </w:rPr>
          <w:t>Inteligentne Specjalizacje Pomorza</w:t>
        </w:r>
      </w:hyperlink>
      <w:hyperlink r:id="rId20">
        <w:r w:rsidRPr="003E194A">
          <w:rPr>
            <w:b/>
            <w:color w:val="000000" w:themeColor="text1"/>
            <w:u w:val="single"/>
          </w:rPr>
          <w:t xml:space="preserve"> </w:t>
        </w:r>
      </w:hyperlink>
      <w:r w:rsidRPr="003E194A">
        <w:rPr>
          <w:b/>
          <w:color w:val="000000" w:themeColor="text1"/>
          <w:u w:val="single"/>
        </w:rPr>
        <w:t xml:space="preserve">oraz </w:t>
      </w:r>
      <w:hyperlink r:id="rId21">
        <w:r w:rsidRPr="003E194A">
          <w:rPr>
            <w:b/>
            <w:color w:val="000000" w:themeColor="text1"/>
            <w:u w:val="single"/>
          </w:rPr>
          <w:t>branże kluczowe</w:t>
        </w:r>
      </w:hyperlink>
      <w:hyperlink r:id="rId22">
        <w:r w:rsidRPr="003E194A">
          <w:rPr>
            <w:b/>
            <w:color w:val="000000" w:themeColor="text1"/>
            <w:u w:val="single"/>
          </w:rPr>
          <w:t>.</w:t>
        </w:r>
      </w:hyperlink>
      <w:r w:rsidRPr="003E194A">
        <w:rPr>
          <w:b/>
          <w:color w:val="000000" w:themeColor="text1"/>
          <w:u w:val="single"/>
        </w:rPr>
        <w:t xml:space="preserve">  </w:t>
      </w:r>
    </w:p>
    <w:p w14:paraId="6C2E169D" w14:textId="77777777" w:rsidR="00136435" w:rsidRDefault="006F0034">
      <w:pPr>
        <w:spacing w:after="158" w:line="292" w:lineRule="auto"/>
        <w:ind w:left="-5" w:right="14"/>
        <w:jc w:val="left"/>
      </w:pPr>
      <w:r>
        <w:t xml:space="preserve">Wsparcie będzie obejmowało osoby świadczące pracę w obszarach gospodarki zidentyfikowanych jako priorytetowe dla rozwoju regionu </w:t>
      </w:r>
      <w:r>
        <w:rPr>
          <w:rFonts w:ascii="Calibri" w:eastAsia="Calibri" w:hAnsi="Calibri" w:cs="Calibri"/>
          <w:sz w:val="22"/>
        </w:rPr>
        <w:t>tj.:</w:t>
      </w:r>
      <w:r>
        <w:t xml:space="preserve"> Inteligentne Specjalizacje Pomorza (ISP) oraz uzupełniające je branże kluczowe - gałęzie gospodarki mające istotne znaczenie dla rozwoju poszczególnych obszarów województwa. </w:t>
      </w:r>
      <w:r>
        <w:rPr>
          <w:rFonts w:ascii="Calibri" w:eastAsia="Calibri" w:hAnsi="Calibri" w:cs="Calibri"/>
          <w:sz w:val="22"/>
        </w:rPr>
        <w:t xml:space="preserve"> </w:t>
      </w:r>
    </w:p>
    <w:p w14:paraId="3F2678BA" w14:textId="77777777" w:rsidR="00136435" w:rsidRDefault="006F0034">
      <w:pPr>
        <w:spacing w:after="213"/>
        <w:ind w:left="-5"/>
      </w:pPr>
      <w:r>
        <w:t>Zarząd Województwa Pomorskiego w formie uchwały</w:t>
      </w:r>
      <w:r>
        <w:rPr>
          <w:vertAlign w:val="superscript"/>
        </w:rPr>
        <w:footnoteReference w:id="1"/>
      </w:r>
      <w:r>
        <w:t xml:space="preserve"> określił następujące obszary ISP: </w:t>
      </w:r>
    </w:p>
    <w:p w14:paraId="41F23C6E" w14:textId="77777777" w:rsidR="00136435" w:rsidRDefault="006F0034">
      <w:pPr>
        <w:numPr>
          <w:ilvl w:val="0"/>
          <w:numId w:val="6"/>
        </w:numPr>
        <w:ind w:hanging="360"/>
      </w:pPr>
      <w:r>
        <w:t xml:space="preserve">ISP1 - Technologie </w:t>
      </w:r>
      <w:proofErr w:type="spellStart"/>
      <w:r>
        <w:t>offshore</w:t>
      </w:r>
      <w:proofErr w:type="spellEnd"/>
      <w:r>
        <w:t xml:space="preserve"> i portowo - logistyczne; </w:t>
      </w:r>
    </w:p>
    <w:p w14:paraId="05051F08" w14:textId="77777777" w:rsidR="00136435" w:rsidRDefault="006F0034">
      <w:pPr>
        <w:numPr>
          <w:ilvl w:val="0"/>
          <w:numId w:val="6"/>
        </w:numPr>
        <w:ind w:hanging="360"/>
      </w:pPr>
      <w:r>
        <w:t xml:space="preserve">ISP 2 - Technologie interaktywne w środowisku nasyconym informacyjnie;  </w:t>
      </w:r>
    </w:p>
    <w:p w14:paraId="30842BEE" w14:textId="77777777" w:rsidR="00136435" w:rsidRDefault="006F0034">
      <w:pPr>
        <w:numPr>
          <w:ilvl w:val="0"/>
          <w:numId w:val="6"/>
        </w:numPr>
        <w:ind w:hanging="360"/>
      </w:pPr>
      <w:r>
        <w:t xml:space="preserve">ISP 3 - Zielona energia - Technologie </w:t>
      </w:r>
      <w:proofErr w:type="spellStart"/>
      <w:r>
        <w:t>ekoefektywne</w:t>
      </w:r>
      <w:proofErr w:type="spellEnd"/>
      <w:r>
        <w:t xml:space="preserve">;  </w:t>
      </w:r>
    </w:p>
    <w:p w14:paraId="599621E0" w14:textId="77777777" w:rsidR="00136435" w:rsidRDefault="006F0034">
      <w:pPr>
        <w:numPr>
          <w:ilvl w:val="0"/>
          <w:numId w:val="6"/>
        </w:numPr>
        <w:spacing w:after="196"/>
        <w:ind w:hanging="360"/>
      </w:pPr>
      <w:r>
        <w:t xml:space="preserve">ISP 4 - Wspólne zdrowie - Technologie medyczne w zakresie zdrowia ludzi, zwierząt i środowiska jako jednego wspólnego ekosystemu. </w:t>
      </w:r>
    </w:p>
    <w:p w14:paraId="6F9E7519" w14:textId="77777777" w:rsidR="00136435" w:rsidRDefault="006F0034">
      <w:pPr>
        <w:spacing w:after="246" w:line="292" w:lineRule="auto"/>
        <w:ind w:left="-5" w:right="14"/>
        <w:jc w:val="left"/>
      </w:pPr>
      <w:r>
        <w:t xml:space="preserve">Zakres przedmiotowy ISP określa załącznik nr 1 do uchwały. Zidentyfikowane dla województwa pomorskiego branże kluczowe to: branża budowlana, branża </w:t>
      </w:r>
      <w:proofErr w:type="spellStart"/>
      <w:r>
        <w:t>drzewno</w:t>
      </w:r>
      <w:proofErr w:type="spellEnd"/>
      <w:r>
        <w:t xml:space="preserve"> - meblarska, branża kreatywna, branża rolno - spożywcza, branża metalowo - maszynowa, branża turystyki, czasu wolnego i MICE (ang. </w:t>
      </w:r>
      <w:proofErr w:type="spellStart"/>
      <w:r>
        <w:lastRenderedPageBreak/>
        <w:t>Meetings</w:t>
      </w:r>
      <w:proofErr w:type="spellEnd"/>
      <w:r>
        <w:t xml:space="preserve">, </w:t>
      </w:r>
      <w:proofErr w:type="spellStart"/>
      <w:r>
        <w:t>Incentives</w:t>
      </w:r>
      <w:proofErr w:type="spellEnd"/>
      <w:r>
        <w:t xml:space="preserve">, </w:t>
      </w:r>
      <w:proofErr w:type="spellStart"/>
      <w:r>
        <w:t>Conferences</w:t>
      </w:r>
      <w:proofErr w:type="spellEnd"/>
      <w:r>
        <w:t xml:space="preserve">, </w:t>
      </w:r>
      <w:proofErr w:type="spellStart"/>
      <w:r>
        <w:t>Exhibitions</w:t>
      </w:r>
      <w:proofErr w:type="spellEnd"/>
      <w:r>
        <w:t xml:space="preserve">), branża tworzyw sztucznych. Lista branż kluczowych wraz z identyfikacją geograficzną i szczegółowym przypisaniem do klasyfikacji PKD znajduje się w załączniku do uchwały Zarządu Województwa Pomorskiego w sprawie wyboru branż kluczowych dla gospodarki województwa pomorskiego z uwzględnieniem specyfiki </w:t>
      </w:r>
      <w:proofErr w:type="spellStart"/>
      <w:r>
        <w:t>subregionalnej</w:t>
      </w:r>
      <w:proofErr w:type="spellEnd"/>
      <w:r>
        <w:rPr>
          <w:vertAlign w:val="superscript"/>
        </w:rPr>
        <w:footnoteReference w:id="2"/>
      </w:r>
      <w:r>
        <w:t xml:space="preserve">. </w:t>
      </w:r>
    </w:p>
    <w:p w14:paraId="2CFF4169" w14:textId="77777777" w:rsidR="00136435" w:rsidRPr="003E194A" w:rsidRDefault="006F0034">
      <w:pPr>
        <w:spacing w:after="100" w:line="292" w:lineRule="auto"/>
        <w:ind w:left="-5" w:right="155"/>
        <w:jc w:val="left"/>
        <w:rPr>
          <w:u w:val="single"/>
        </w:rPr>
      </w:pPr>
      <w:r>
        <w:t xml:space="preserve">Warunkiem dostępu do niniejszego priorytetu jest posiadanie przez wnioskodawcę (według stanu  na 1 stycznia 2026 r.), </w:t>
      </w:r>
      <w:r w:rsidRPr="003E194A">
        <w:rPr>
          <w:u w:val="single"/>
        </w:rPr>
        <w:t xml:space="preserve">jako przeważającego rodzaju wykonywanej działalności odpowiedniego kodu PKD w przypadku branż kluczowych lub wiarygodnego uzasadnienia, że działalność podmiotu starającego się o wsparcie ze środków KFS wpisuje się w zakres podmiotowy obszaru Inteligentnych Specjalizacji Pomorza.  </w:t>
      </w:r>
    </w:p>
    <w:p w14:paraId="577D2066" w14:textId="77777777" w:rsidR="00136435" w:rsidRDefault="006F0034">
      <w:pPr>
        <w:spacing w:after="24" w:line="259" w:lineRule="auto"/>
        <w:ind w:left="0" w:firstLine="0"/>
        <w:jc w:val="left"/>
      </w:pPr>
      <w:r>
        <w:rPr>
          <w:color w:val="FF0000"/>
        </w:rPr>
        <w:t xml:space="preserve"> </w:t>
      </w:r>
    </w:p>
    <w:p w14:paraId="7650DF4A" w14:textId="77777777" w:rsidR="00136435" w:rsidRPr="00BA776F" w:rsidRDefault="006F0034">
      <w:pPr>
        <w:spacing w:after="133" w:line="271" w:lineRule="auto"/>
        <w:ind w:left="-5"/>
        <w:jc w:val="left"/>
        <w:rPr>
          <w:u w:val="single"/>
        </w:rPr>
      </w:pPr>
      <w:r w:rsidRPr="00BA776F">
        <w:rPr>
          <w:b/>
          <w:u w:val="single"/>
        </w:rPr>
        <w:t xml:space="preserve">Priorytet nr 2: Wsparcie wydłużania aktywności zawodowej poprzez kształcenie ustawiczne osób powyżej 45 roku życia.  </w:t>
      </w:r>
    </w:p>
    <w:p w14:paraId="17930BDA" w14:textId="77777777" w:rsidR="00136435" w:rsidRDefault="006F0034">
      <w:pPr>
        <w:spacing w:after="0" w:line="292" w:lineRule="auto"/>
        <w:ind w:left="-5" w:right="14"/>
        <w:jc w:val="left"/>
      </w:pPr>
      <w:r>
        <w:t>Celem powyższego priorytetu jest podnoszenie kwalifikacji osób pracujących powyżej 45 roku życia, które mimo posiadanego doświadczenia zawodowego są grupą najbardziej narażoną na utratę zatrudnienia i mającą największe trudności w dostosowywaniu kompetencji do wymagań zmieniającej się gospodarki i rynku pracy</w:t>
      </w:r>
      <w:r>
        <w:rPr>
          <w:rFonts w:ascii="Calibri" w:eastAsia="Calibri" w:hAnsi="Calibri" w:cs="Calibri"/>
          <w:sz w:val="22"/>
        </w:rPr>
        <w:t>.</w:t>
      </w:r>
      <w:r>
        <w:t xml:space="preserve"> Istotne znaczenie mają również niekorzystne trendy demograficzne  i starzenie się społeczeństwa, których skutkiem może być znaczne ograniczenie podaży pracy. Kształcenie ustawiczne osób po 45 roku życia jest jednym ze sposobów utrzymania poziomu zatrudnienia, a dodatkowo wspiera rozwój społeczny w regionie. </w:t>
      </w:r>
    </w:p>
    <w:p w14:paraId="7F3A684F" w14:textId="77777777" w:rsidR="00136435" w:rsidRDefault="006F0034">
      <w:pPr>
        <w:spacing w:after="233" w:line="292" w:lineRule="auto"/>
        <w:ind w:left="-5" w:right="306"/>
        <w:jc w:val="left"/>
      </w:pPr>
      <w:r>
        <w:t xml:space="preserve">W ramach niniejszego priorytetu środki KFS będą mogły sfinansować kształcenie ustawiczne  osób świadczących pracę wyłącznie w wieku powyżej 45 roku życia. Decyduje wiek osoby, która skorzysta z wybranej formy kształcenia ustawicznego, w momencie składania przez wnioskodawcę wniosku o dofinansowanie. W uzasadnieniu należy wykazać potrzebę nabycia umiejętności. </w:t>
      </w:r>
    </w:p>
    <w:p w14:paraId="7EC08ECA" w14:textId="77777777" w:rsidR="00136435" w:rsidRPr="00BA776F" w:rsidRDefault="006F0034">
      <w:pPr>
        <w:spacing w:after="2" w:line="271" w:lineRule="auto"/>
        <w:ind w:left="-5"/>
        <w:jc w:val="left"/>
        <w:rPr>
          <w:u w:val="single"/>
        </w:rPr>
      </w:pPr>
      <w:r w:rsidRPr="00BA776F">
        <w:rPr>
          <w:b/>
          <w:u w:val="single"/>
        </w:rPr>
        <w:t xml:space="preserve">Priorytet nr 3: Wzmocnienie odporności rynku pracy poprzez kształcenie ustawiczne w związku z występowaniem zdarzeń kryzysowych i sytuacji szczególnych, zwłaszcza gdy powyższe czynniki stanowią ryzyko utraty pracy.  </w:t>
      </w:r>
    </w:p>
    <w:p w14:paraId="3C32D165" w14:textId="77777777" w:rsidR="00136435" w:rsidRDefault="006F0034">
      <w:pPr>
        <w:spacing w:after="11" w:line="259" w:lineRule="auto"/>
        <w:ind w:left="0" w:firstLine="0"/>
        <w:jc w:val="left"/>
      </w:pPr>
      <w:r>
        <w:rPr>
          <w:b/>
        </w:rPr>
        <w:t xml:space="preserve"> </w:t>
      </w:r>
    </w:p>
    <w:p w14:paraId="0497ECD5" w14:textId="77777777" w:rsidR="00136435" w:rsidRDefault="006F0034">
      <w:pPr>
        <w:spacing w:after="140" w:line="292" w:lineRule="auto"/>
        <w:ind w:left="-5" w:right="81"/>
        <w:jc w:val="left"/>
      </w:pPr>
      <w:r>
        <w:t>Wsparcie</w:t>
      </w:r>
      <w:r>
        <w:rPr>
          <w:strike/>
        </w:rPr>
        <w:t xml:space="preserve"> </w:t>
      </w:r>
      <w:r>
        <w:t>ma obejmować kształcenie ustawiczne związane z możliwością występowania zdarzeń kryzysowych i sytuacji szczególnych, mających wpływ na gospodarkę i rynek pracy. Szereg różnych czynników, takich jak zmiany klimatyczne, zjawiska pogodowe, zdarzenia losowe, ataki cybernetyczne i inne, wpływają na prowadzenie działalności gospodarczej oraz trwałość zatrudnienia. Kształcenie ustawiczne ma być ukierunkowane na rozwijanie, doskonalenie wiedzy, umiejętności  i kwalifikacji w celu zapobiegania i minimalizowania negatywnych skutków ww. zdarzeń i sytuacji  w ramach polityki zarządzania ciągłością działania. (</w:t>
      </w:r>
      <w:r>
        <w:rPr>
          <w:i/>
        </w:rPr>
        <w:t xml:space="preserve">Business </w:t>
      </w:r>
      <w:proofErr w:type="spellStart"/>
      <w:r>
        <w:rPr>
          <w:i/>
        </w:rPr>
        <w:t>Continuity</w:t>
      </w:r>
      <w:proofErr w:type="spellEnd"/>
      <w:r>
        <w:rPr>
          <w:i/>
        </w:rPr>
        <w:t xml:space="preserve"> Management, </w:t>
      </w:r>
      <w:r>
        <w:t xml:space="preserve">tj. zbiór działań podejmowanych przez organizację w celu zapewnienia dostępności krytycznych funkcji biznesowych w przypadku wystąpienia sytuacji kryzysowej). </w:t>
      </w:r>
    </w:p>
    <w:p w14:paraId="711683D7" w14:textId="284A5F76" w:rsidR="00136435" w:rsidRDefault="006F0034" w:rsidP="00793709">
      <w:pPr>
        <w:spacing w:after="90"/>
        <w:ind w:left="-5"/>
      </w:pPr>
      <w:r>
        <w:lastRenderedPageBreak/>
        <w:t xml:space="preserve">Warunkiem kształcenia ustawicznego w ramach priorytetu jest uzasadnienie/umotywowanie przez wnioskodawcę potrzeby/konieczności realizacji wnioskowanego kształcenia ustawicznego. </w:t>
      </w:r>
    </w:p>
    <w:p w14:paraId="39B57C43" w14:textId="7589679F" w:rsidR="00136435" w:rsidRPr="004A77A4" w:rsidRDefault="006F0034" w:rsidP="004A77A4">
      <w:pPr>
        <w:spacing w:after="0" w:line="360" w:lineRule="auto"/>
        <w:rPr>
          <w:color w:val="auto"/>
          <w:kern w:val="0"/>
          <w:sz w:val="22"/>
          <w:szCs w:val="22"/>
          <w:lang w:eastAsia="ar-SA"/>
          <w14:ligatures w14:val="none"/>
        </w:rPr>
      </w:pPr>
      <w:r>
        <w:rPr>
          <w:rFonts w:ascii="Arial" w:eastAsia="Arial" w:hAnsi="Arial" w:cs="Arial"/>
          <w:sz w:val="22"/>
        </w:rPr>
        <w:t xml:space="preserve"> </w:t>
      </w:r>
    </w:p>
    <w:sectPr w:rsidR="00136435" w:rsidRPr="004A77A4" w:rsidSect="00BA776F">
      <w:headerReference w:type="default" r:id="rId23"/>
      <w:footerReference w:type="even" r:id="rId24"/>
      <w:footerReference w:type="default" r:id="rId25"/>
      <w:footerReference w:type="first" r:id="rId26"/>
      <w:footnotePr>
        <w:numRestart w:val="eachPage"/>
      </w:footnotePr>
      <w:pgSz w:w="11906" w:h="16838"/>
      <w:pgMar w:top="1560" w:right="707" w:bottom="426" w:left="900"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2B47" w14:textId="77777777" w:rsidR="006F0034" w:rsidRDefault="006F0034">
      <w:pPr>
        <w:spacing w:after="0" w:line="240" w:lineRule="auto"/>
      </w:pPr>
      <w:r>
        <w:separator/>
      </w:r>
    </w:p>
  </w:endnote>
  <w:endnote w:type="continuationSeparator" w:id="0">
    <w:p w14:paraId="6B5DC0D8" w14:textId="77777777" w:rsidR="006F0034" w:rsidRDefault="006F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BE81" w14:textId="77777777" w:rsidR="00136435" w:rsidRDefault="006F0034">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7E0A5EE2" w14:textId="77777777" w:rsidR="00136435" w:rsidRDefault="006F0034">
    <w:pPr>
      <w:spacing w:after="0" w:line="259" w:lineRule="auto"/>
      <w:ind w:lef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60018"/>
      <w:docPartObj>
        <w:docPartGallery w:val="Page Numbers (Bottom of Page)"/>
        <w:docPartUnique/>
      </w:docPartObj>
    </w:sdtPr>
    <w:sdtEndPr/>
    <w:sdtContent>
      <w:p w14:paraId="3F088001" w14:textId="5F1C0465" w:rsidR="00BA776F" w:rsidRDefault="00BA776F">
        <w:pPr>
          <w:pStyle w:val="Stopka"/>
          <w:jc w:val="center"/>
        </w:pPr>
        <w:r>
          <w:fldChar w:fldCharType="begin"/>
        </w:r>
        <w:r>
          <w:instrText>PAGE   \* MERGEFORMAT</w:instrText>
        </w:r>
        <w:r>
          <w:fldChar w:fldCharType="separate"/>
        </w:r>
        <w:r>
          <w:t>2</w:t>
        </w:r>
        <w:r>
          <w:fldChar w:fldCharType="end"/>
        </w:r>
      </w:p>
    </w:sdtContent>
  </w:sdt>
  <w:p w14:paraId="5895409C" w14:textId="77777777" w:rsidR="00BA776F" w:rsidRDefault="00BA77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7CCD" w14:textId="77777777" w:rsidR="00136435" w:rsidRDefault="006F0034">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6084B23E" w14:textId="77777777" w:rsidR="00136435" w:rsidRDefault="006F0034">
    <w:pPr>
      <w:spacing w:after="0" w:line="259" w:lineRule="auto"/>
      <w:ind w:lef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E55A" w14:textId="77777777" w:rsidR="00136435" w:rsidRDefault="006F0034">
      <w:pPr>
        <w:spacing w:after="45" w:line="253" w:lineRule="auto"/>
        <w:ind w:left="0" w:firstLine="0"/>
        <w:jc w:val="left"/>
      </w:pPr>
      <w:r>
        <w:separator/>
      </w:r>
    </w:p>
  </w:footnote>
  <w:footnote w:type="continuationSeparator" w:id="0">
    <w:p w14:paraId="363E7520" w14:textId="77777777" w:rsidR="00136435" w:rsidRDefault="006F0034">
      <w:pPr>
        <w:spacing w:after="45" w:line="253" w:lineRule="auto"/>
        <w:ind w:left="0" w:firstLine="0"/>
        <w:jc w:val="left"/>
      </w:pPr>
      <w:r>
        <w:continuationSeparator/>
      </w:r>
    </w:p>
  </w:footnote>
  <w:footnote w:id="1">
    <w:p w14:paraId="7DAE2918" w14:textId="77777777" w:rsidR="00136435" w:rsidRDefault="006F0034">
      <w:pPr>
        <w:pStyle w:val="footnotedescription"/>
        <w:spacing w:after="45" w:line="253" w:lineRule="auto"/>
      </w:pPr>
      <w:r>
        <w:rPr>
          <w:rStyle w:val="footnotemark"/>
        </w:rPr>
        <w:footnoteRef/>
      </w:r>
      <w:r>
        <w:t xml:space="preserve"> Uchwała Nr 591/549/24 Zarządu Województwa Pomorskiego z dnia 21 maja 2024 r. w sprawie określenia Inteligentnych Specjalizacji Pomorza. </w:t>
      </w:r>
    </w:p>
  </w:footnote>
  <w:footnote w:id="2">
    <w:p w14:paraId="1D6B862A" w14:textId="77777777" w:rsidR="00136435" w:rsidRDefault="006F0034">
      <w:pPr>
        <w:pStyle w:val="footnotedescription"/>
        <w:spacing w:after="0" w:line="250" w:lineRule="auto"/>
      </w:pPr>
      <w:r>
        <w:rPr>
          <w:rStyle w:val="footnotemark"/>
        </w:rPr>
        <w:footnoteRef/>
      </w:r>
      <w:r>
        <w:t xml:space="preserve"> Uchwała Nr 580/548/24 Zarządu Województwa Pomorskiego z dnia 16 maja 2024 r. w sprawie wyboru branż kluczowych dla gospodarki województwa pomorskiego z uwzględnieniem specyfiki </w:t>
      </w:r>
      <w:r>
        <w:t xml:space="preserve">subregionalnej.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EE34" w14:textId="77777777" w:rsidR="004B4E28" w:rsidRPr="004B4E28" w:rsidRDefault="004B4E28" w:rsidP="004B4E28">
    <w:pPr>
      <w:tabs>
        <w:tab w:val="center" w:pos="4536"/>
        <w:tab w:val="right" w:pos="9072"/>
      </w:tabs>
      <w:suppressAutoHyphens/>
      <w:autoSpaceDN w:val="0"/>
      <w:spacing w:after="0" w:line="240" w:lineRule="auto"/>
      <w:ind w:left="0" w:firstLine="0"/>
      <w:jc w:val="left"/>
      <w:textAlignment w:val="baseline"/>
      <w:rPr>
        <w:rFonts w:ascii="Calibri" w:eastAsia="Calibri" w:hAnsi="Calibri"/>
        <w:color w:val="auto"/>
        <w:kern w:val="3"/>
        <w:lang w:eastAsia="en-US"/>
        <w14:ligatures w14:val="none"/>
      </w:rPr>
    </w:pPr>
    <w:r w:rsidRPr="004B4E28">
      <w:rPr>
        <w:rFonts w:ascii="Calibri" w:eastAsia="Calibri" w:hAnsi="Calibri"/>
        <w:noProof/>
        <w:color w:val="auto"/>
        <w:kern w:val="3"/>
        <w14:ligatures w14:val="none"/>
      </w:rPr>
      <w:drawing>
        <wp:inline distT="0" distB="0" distL="0" distR="0" wp14:anchorId="19973BA0" wp14:editId="59D730D5">
          <wp:extent cx="1546863" cy="508004"/>
          <wp:effectExtent l="0" t="0" r="0" b="0"/>
          <wp:docPr id="1627378248"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46863" cy="508004"/>
                  </a:xfrm>
                  <a:prstGeom prst="rect">
                    <a:avLst/>
                  </a:prstGeom>
                  <a:noFill/>
                  <a:ln>
                    <a:noFill/>
                    <a:prstDash/>
                  </a:ln>
                </pic:spPr>
              </pic:pic>
            </a:graphicData>
          </a:graphic>
        </wp:inline>
      </w:drawing>
    </w:r>
    <w:r w:rsidRPr="004B4E28">
      <w:rPr>
        <w:rFonts w:ascii="Calibri" w:eastAsia="Calibri" w:hAnsi="Calibri"/>
        <w:color w:val="auto"/>
        <w:kern w:val="3"/>
        <w:lang w:eastAsia="en-US"/>
        <w14:ligatures w14:val="none"/>
      </w:rPr>
      <w:t xml:space="preserve">                                                                                                              </w:t>
    </w:r>
    <w:r w:rsidRPr="004B4E28">
      <w:rPr>
        <w:rFonts w:ascii="Calibri" w:eastAsia="Calibri" w:hAnsi="Calibri"/>
        <w:noProof/>
        <w:color w:val="auto"/>
        <w:kern w:val="3"/>
        <w:lang w:eastAsia="en-US"/>
        <w14:ligatures w14:val="none"/>
      </w:rPr>
      <w:drawing>
        <wp:inline distT="0" distB="0" distL="0" distR="0" wp14:anchorId="2F792EB3" wp14:editId="57016244">
          <wp:extent cx="812801" cy="349886"/>
          <wp:effectExtent l="0" t="0" r="6349" b="0"/>
          <wp:docPr id="20373625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12801" cy="349886"/>
                  </a:xfrm>
                  <a:prstGeom prst="rect">
                    <a:avLst/>
                  </a:prstGeom>
                  <a:noFill/>
                  <a:ln>
                    <a:noFill/>
                    <a:prstDash/>
                  </a:ln>
                </pic:spPr>
              </pic:pic>
            </a:graphicData>
          </a:graphic>
        </wp:inline>
      </w:drawing>
    </w:r>
    <w:r w:rsidRPr="004B4E28">
      <w:rPr>
        <w:rFonts w:ascii="Calibri" w:eastAsia="Calibri" w:hAnsi="Calibri"/>
        <w:color w:val="auto"/>
        <w:kern w:val="3"/>
        <w:lang w:eastAsia="en-US"/>
        <w14:ligatures w14:val="none"/>
      </w:rPr>
      <w:t xml:space="preserve">                 </w:t>
    </w:r>
  </w:p>
  <w:p w14:paraId="3D295CE6" w14:textId="77777777" w:rsidR="004B4E28" w:rsidRPr="004B4E28" w:rsidRDefault="004B4E28" w:rsidP="004B4E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B84"/>
    <w:multiLevelType w:val="multilevel"/>
    <w:tmpl w:val="B07C0C8C"/>
    <w:lvl w:ilvl="0">
      <w:start w:val="1"/>
      <w:numFmt w:val="decimal"/>
      <w:lvlText w:val="%1."/>
      <w:lvlJc w:val="left"/>
      <w:pPr>
        <w:ind w:left="720" w:hanging="360"/>
      </w:pPr>
    </w:lvl>
    <w:lvl w:ilvl="1">
      <w:start w:val="1"/>
      <w:numFmt w:val="decimal"/>
      <w:lvlText w:val="%2)"/>
      <w:lvlJc w:val="left"/>
      <w:pPr>
        <w:ind w:left="128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24A57"/>
    <w:multiLevelType w:val="hybridMultilevel"/>
    <w:tmpl w:val="746271EC"/>
    <w:lvl w:ilvl="0" w:tplc="076ADF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A34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C1C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AD9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4DB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E2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42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A98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C81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9B328E"/>
    <w:multiLevelType w:val="hybridMultilevel"/>
    <w:tmpl w:val="7B5AA47C"/>
    <w:lvl w:ilvl="0" w:tplc="A95CD5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DEFF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7C8B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D810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10BC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6236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6059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A08E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5493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78751A"/>
    <w:multiLevelType w:val="hybridMultilevel"/>
    <w:tmpl w:val="95C668D8"/>
    <w:lvl w:ilvl="0" w:tplc="83B417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4D5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42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8B2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05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656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23D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A29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E06E4D"/>
    <w:multiLevelType w:val="multilevel"/>
    <w:tmpl w:val="B198B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20D2A"/>
    <w:multiLevelType w:val="multilevel"/>
    <w:tmpl w:val="4E127CAA"/>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A983DEE"/>
    <w:multiLevelType w:val="multilevel"/>
    <w:tmpl w:val="2954D4C0"/>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B21383"/>
    <w:multiLevelType w:val="hybridMultilevel"/>
    <w:tmpl w:val="9C8AE50C"/>
    <w:lvl w:ilvl="0" w:tplc="8D1026C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2C8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AE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030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C12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84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601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EB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A74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D110C0"/>
    <w:multiLevelType w:val="multilevel"/>
    <w:tmpl w:val="A7669978"/>
    <w:lvl w:ilvl="0">
      <w:start w:val="1"/>
      <w:numFmt w:val="decimal"/>
      <w:lvlText w:val="%1."/>
      <w:lvlJc w:val="left"/>
      <w:pPr>
        <w:ind w:left="1920" w:hanging="360"/>
      </w:pPr>
      <w:rPr>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E37819"/>
    <w:multiLevelType w:val="hybridMultilevel"/>
    <w:tmpl w:val="FD6A6FE8"/>
    <w:lvl w:ilvl="0" w:tplc="8DE4FE6E">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8A8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051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0BF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AE1B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834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4D4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6C4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4EE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5678BC"/>
    <w:multiLevelType w:val="multilevel"/>
    <w:tmpl w:val="26921B78"/>
    <w:lvl w:ilvl="0">
      <w:start w:val="1"/>
      <w:numFmt w:val="decimal"/>
      <w:lvlText w:val="%1."/>
      <w:lvlJc w:val="left"/>
      <w:pPr>
        <w:ind w:left="644" w:hanging="360"/>
      </w:pPr>
      <w:rPr>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55863"/>
    <w:multiLevelType w:val="hybridMultilevel"/>
    <w:tmpl w:val="41BEA3FA"/>
    <w:lvl w:ilvl="0" w:tplc="2764B5DC">
      <w:start w:val="1"/>
      <w:numFmt w:val="bullet"/>
      <w:lvlText w:val="✓"/>
      <w:lvlJc w:val="left"/>
      <w:pPr>
        <w:ind w:left="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6363F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26AB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865E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2AD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85E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A838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08B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DC13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A74B0E"/>
    <w:multiLevelType w:val="multilevel"/>
    <w:tmpl w:val="2A3A3CCA"/>
    <w:lvl w:ilvl="0">
      <w:start w:val="1"/>
      <w:numFmt w:val="decimal"/>
      <w:lvlText w:val="%1."/>
      <w:lvlJc w:val="left"/>
      <w:pPr>
        <w:ind w:left="1116" w:hanging="360"/>
      </w:p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13" w15:restartNumberingAfterBreak="0">
    <w:nsid w:val="61776F07"/>
    <w:multiLevelType w:val="multilevel"/>
    <w:tmpl w:val="7200F2CA"/>
    <w:lvl w:ilvl="0">
      <w:start w:val="1"/>
      <w:numFmt w:val="decimal"/>
      <w:lvlText w:val="%1)"/>
      <w:lvlJc w:val="left"/>
      <w:pPr>
        <w:ind w:left="1069" w:hanging="360"/>
      </w:pPr>
      <w:rPr>
        <w:rFonts w:ascii="Times New Roman" w:eastAsia="Times New Roman" w:hAnsi="Times New Roman"/>
        <w:sz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6D425562"/>
    <w:multiLevelType w:val="hybridMultilevel"/>
    <w:tmpl w:val="53D0E134"/>
    <w:lvl w:ilvl="0" w:tplc="0415000B">
      <w:start w:val="1"/>
      <w:numFmt w:val="bullet"/>
      <w:lvlText w:val=""/>
      <w:lvlJc w:val="left"/>
      <w:pPr>
        <w:ind w:left="24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A052FC"/>
    <w:multiLevelType w:val="hybridMultilevel"/>
    <w:tmpl w:val="913A0BEA"/>
    <w:lvl w:ilvl="0" w:tplc="65AE42FE">
      <w:start w:val="1"/>
      <w:numFmt w:val="upperRoman"/>
      <w:pStyle w:val="Nagwek1"/>
      <w:lvlText w:val="%1."/>
      <w:lvlJc w:val="left"/>
      <w:pPr>
        <w:ind w:left="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1" w:tplc="7870C062">
      <w:start w:val="1"/>
      <w:numFmt w:val="lowerLetter"/>
      <w:lvlText w:val="%2"/>
      <w:lvlJc w:val="left"/>
      <w:pPr>
        <w:ind w:left="212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2" w:tplc="0098100C">
      <w:start w:val="1"/>
      <w:numFmt w:val="lowerRoman"/>
      <w:lvlText w:val="%3"/>
      <w:lvlJc w:val="left"/>
      <w:pPr>
        <w:ind w:left="284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3" w:tplc="1C44AEF0">
      <w:start w:val="1"/>
      <w:numFmt w:val="decimal"/>
      <w:lvlText w:val="%4"/>
      <w:lvlJc w:val="left"/>
      <w:pPr>
        <w:ind w:left="356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4" w:tplc="C7A8FF90">
      <w:start w:val="1"/>
      <w:numFmt w:val="lowerLetter"/>
      <w:lvlText w:val="%5"/>
      <w:lvlJc w:val="left"/>
      <w:pPr>
        <w:ind w:left="428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5" w:tplc="D57A33A2">
      <w:start w:val="1"/>
      <w:numFmt w:val="lowerRoman"/>
      <w:lvlText w:val="%6"/>
      <w:lvlJc w:val="left"/>
      <w:pPr>
        <w:ind w:left="500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6" w:tplc="27543606">
      <w:start w:val="1"/>
      <w:numFmt w:val="decimal"/>
      <w:lvlText w:val="%7"/>
      <w:lvlJc w:val="left"/>
      <w:pPr>
        <w:ind w:left="572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7" w:tplc="0914BAC6">
      <w:start w:val="1"/>
      <w:numFmt w:val="lowerLetter"/>
      <w:lvlText w:val="%8"/>
      <w:lvlJc w:val="left"/>
      <w:pPr>
        <w:ind w:left="644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8" w:tplc="F29E4CD4">
      <w:start w:val="1"/>
      <w:numFmt w:val="lowerRoman"/>
      <w:lvlText w:val="%9"/>
      <w:lvlJc w:val="left"/>
      <w:pPr>
        <w:ind w:left="716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7C8B3153"/>
    <w:multiLevelType w:val="multilevel"/>
    <w:tmpl w:val="06AC6F3E"/>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8579859">
    <w:abstractNumId w:val="9"/>
  </w:num>
  <w:num w:numId="2" w16cid:durableId="687023122">
    <w:abstractNumId w:val="1"/>
  </w:num>
  <w:num w:numId="3" w16cid:durableId="1609005521">
    <w:abstractNumId w:val="3"/>
  </w:num>
  <w:num w:numId="4" w16cid:durableId="1048797309">
    <w:abstractNumId w:val="11"/>
  </w:num>
  <w:num w:numId="5" w16cid:durableId="302203149">
    <w:abstractNumId w:val="7"/>
  </w:num>
  <w:num w:numId="6" w16cid:durableId="814179668">
    <w:abstractNumId w:val="2"/>
  </w:num>
  <w:num w:numId="7" w16cid:durableId="1445618121">
    <w:abstractNumId w:val="15"/>
  </w:num>
  <w:num w:numId="8" w16cid:durableId="799416073">
    <w:abstractNumId w:val="4"/>
  </w:num>
  <w:num w:numId="9" w16cid:durableId="1139760473">
    <w:abstractNumId w:val="12"/>
  </w:num>
  <w:num w:numId="10" w16cid:durableId="1737509965">
    <w:abstractNumId w:val="13"/>
  </w:num>
  <w:num w:numId="11" w16cid:durableId="1141773097">
    <w:abstractNumId w:val="6"/>
  </w:num>
  <w:num w:numId="12" w16cid:durableId="2106027927">
    <w:abstractNumId w:val="5"/>
  </w:num>
  <w:num w:numId="13" w16cid:durableId="366637115">
    <w:abstractNumId w:val="8"/>
  </w:num>
  <w:num w:numId="14" w16cid:durableId="445081911">
    <w:abstractNumId w:val="10"/>
  </w:num>
  <w:num w:numId="15" w16cid:durableId="1526677231">
    <w:abstractNumId w:val="0"/>
  </w:num>
  <w:num w:numId="16" w16cid:durableId="353730105">
    <w:abstractNumId w:val="16"/>
  </w:num>
  <w:num w:numId="17" w16cid:durableId="1717511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35"/>
    <w:rsid w:val="000D2840"/>
    <w:rsid w:val="00136435"/>
    <w:rsid w:val="0016661C"/>
    <w:rsid w:val="00246E73"/>
    <w:rsid w:val="003E194A"/>
    <w:rsid w:val="00423B24"/>
    <w:rsid w:val="00432BBB"/>
    <w:rsid w:val="0049144C"/>
    <w:rsid w:val="004A77A4"/>
    <w:rsid w:val="004B4E28"/>
    <w:rsid w:val="0068725A"/>
    <w:rsid w:val="006F0034"/>
    <w:rsid w:val="00793709"/>
    <w:rsid w:val="0087483D"/>
    <w:rsid w:val="00B50F38"/>
    <w:rsid w:val="00BA776F"/>
    <w:rsid w:val="00C12F98"/>
    <w:rsid w:val="00CC536C"/>
    <w:rsid w:val="00F43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F168"/>
  <w15:docId w15:val="{9793C8E8-7042-4357-AA1C-329D8785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300" w:lineRule="auto"/>
      <w:ind w:left="1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7"/>
      </w:numPr>
      <w:spacing w:after="78" w:line="259" w:lineRule="auto"/>
      <w:ind w:left="10" w:right="6" w:hanging="10"/>
      <w:jc w:val="center"/>
      <w:outlineLvl w:val="0"/>
    </w:pPr>
    <w:rPr>
      <w:rFonts w:ascii="Times New Roman" w:eastAsia="Times New Roman" w:hAnsi="Times New Roman" w:cs="Times New Roman"/>
      <w:b/>
      <w:color w:val="000000"/>
      <w:sz w:val="40"/>
    </w:rPr>
  </w:style>
  <w:style w:type="paragraph" w:styleId="Nagwek2">
    <w:name w:val="heading 2"/>
    <w:next w:val="Normalny"/>
    <w:link w:val="Nagwek2Znak"/>
    <w:uiPriority w:val="9"/>
    <w:unhideWhenUsed/>
    <w:qFormat/>
    <w:pPr>
      <w:keepNext/>
      <w:keepLines/>
      <w:spacing w:after="133" w:line="259" w:lineRule="auto"/>
      <w:ind w:left="10" w:right="7" w:hanging="10"/>
      <w:jc w:val="center"/>
      <w:outlineLvl w:val="1"/>
    </w:pPr>
    <w:rPr>
      <w:rFonts w:ascii="Times New Roman" w:eastAsia="Times New Roman" w:hAnsi="Times New Roman" w:cs="Times New Roman"/>
      <w:b/>
      <w:color w:val="000000"/>
      <w:sz w:val="2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8"/>
      <w:u w:val="single" w:color="000000"/>
    </w:rPr>
  </w:style>
  <w:style w:type="character" w:customStyle="1" w:styleId="Nagwek1Znak">
    <w:name w:val="Nagłówek 1 Znak"/>
    <w:link w:val="Nagwek1"/>
    <w:rPr>
      <w:rFonts w:ascii="Times New Roman" w:eastAsia="Times New Roman" w:hAnsi="Times New Roman" w:cs="Times New Roman"/>
      <w:b/>
      <w:color w:val="000000"/>
      <w:sz w:val="40"/>
    </w:rPr>
  </w:style>
  <w:style w:type="paragraph" w:customStyle="1" w:styleId="footnotedescription">
    <w:name w:val="footnote description"/>
    <w:next w:val="Normalny"/>
    <w:link w:val="footnotedescriptionChar"/>
    <w:hidden/>
    <w:pPr>
      <w:spacing w:after="23" w:line="251"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Akapitzlist">
    <w:name w:val="List Paragraph"/>
    <w:basedOn w:val="Normalny"/>
    <w:rsid w:val="004B4E28"/>
    <w:pPr>
      <w:suppressAutoHyphens/>
      <w:autoSpaceDN w:val="0"/>
      <w:spacing w:after="160" w:line="276" w:lineRule="auto"/>
      <w:ind w:left="720" w:firstLine="0"/>
      <w:jc w:val="left"/>
      <w:textAlignment w:val="baseline"/>
    </w:pPr>
    <w:rPr>
      <w:rFonts w:ascii="Calibri" w:eastAsia="Calibri" w:hAnsi="Calibri"/>
      <w:color w:val="auto"/>
      <w:kern w:val="3"/>
      <w:lang w:eastAsia="en-US"/>
      <w14:ligatures w14:val="none"/>
    </w:rPr>
  </w:style>
  <w:style w:type="paragraph" w:styleId="Nagwek">
    <w:name w:val="header"/>
    <w:basedOn w:val="Normalny"/>
    <w:link w:val="NagwekZnak"/>
    <w:uiPriority w:val="99"/>
    <w:unhideWhenUsed/>
    <w:rsid w:val="004B4E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4E28"/>
    <w:rPr>
      <w:rFonts w:ascii="Times New Roman" w:eastAsia="Times New Roman" w:hAnsi="Times New Roman" w:cs="Times New Roman"/>
      <w:color w:val="000000"/>
    </w:rPr>
  </w:style>
  <w:style w:type="paragraph" w:styleId="Stopka">
    <w:name w:val="footer"/>
    <w:basedOn w:val="Normalny"/>
    <w:link w:val="StopkaZnak"/>
    <w:uiPriority w:val="99"/>
    <w:unhideWhenUsed/>
    <w:rsid w:val="004B4E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4E28"/>
    <w:rPr>
      <w:rFonts w:ascii="Times New Roman" w:eastAsia="Times New Roman" w:hAnsi="Times New Roman" w:cs="Times New Roman"/>
      <w:color w:val="000000"/>
    </w:rPr>
  </w:style>
  <w:style w:type="character" w:styleId="Hipercze">
    <w:name w:val="Hyperlink"/>
    <w:basedOn w:val="Domylnaczcionkaakapitu"/>
    <w:uiPriority w:val="99"/>
    <w:unhideWhenUsed/>
    <w:rsid w:val="0049144C"/>
    <w:rPr>
      <w:color w:val="0563C1" w:themeColor="hyperlink"/>
      <w:u w:val="single"/>
    </w:rPr>
  </w:style>
  <w:style w:type="character" w:styleId="Nierozpoznanawzmianka">
    <w:name w:val="Unresolved Mention"/>
    <w:basedOn w:val="Domylnaczcionkaakapitu"/>
    <w:uiPriority w:val="99"/>
    <w:semiHidden/>
    <w:unhideWhenUsed/>
    <w:rsid w:val="00491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rometrzawodow.pl/modul/publikacje?publication=county&amp;province=11&amp;county=246&amp;year=2026" TargetMode="External"/><Relationship Id="rId13" Type="http://schemas.openxmlformats.org/officeDocument/2006/relationships/hyperlink" Target="https://www.gov.pl/web/popcwsparcie/zarzadzanie-procesami-biznesowymi-bpm." TargetMode="External"/><Relationship Id="rId18" Type="http://schemas.openxmlformats.org/officeDocument/2006/relationships/hyperlink" Target="https://rjps.mrips.gov.pl/RJPS/WJ/start.do?wersja=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upgdansk.praca.gov.pl/documents/d/wupgdansk/branze-kluczowe" TargetMode="External"/><Relationship Id="rId7" Type="http://schemas.openxmlformats.org/officeDocument/2006/relationships/endnotes" Target="endnotes.xml"/><Relationship Id="rId12" Type="http://schemas.openxmlformats.org/officeDocument/2006/relationships/hyperlink" Target="https://www.gov.pl/web/popcwsparcie/zarzadzanie-procesami-biznesowymi-bpm." TargetMode="External"/><Relationship Id="rId17" Type="http://schemas.openxmlformats.org/officeDocument/2006/relationships/hyperlink" Target="https://www.gov.pl/web/popcwsparcie/zarzadzanie-procesami-biznesowymi-bp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popcwsparcie/zarzadzanie-procesami-biznesowymi-bpm." TargetMode="External"/><Relationship Id="rId20" Type="http://schemas.openxmlformats.org/officeDocument/2006/relationships/hyperlink" Target="https://wupgdansk.praca.gov.pl/documents/d/wupgdansk/inteligentne-specjalizacje-pomor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opcwsparcie/zarzadzanie-procesami-biznesowymi-bp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pl/web/popcwsparcie/zarzadzanie-procesami-biznesowymi-bp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pl/web/popcwsparcie/zarzadzanie" TargetMode="External"/><Relationship Id="rId19" Type="http://schemas.openxmlformats.org/officeDocument/2006/relationships/hyperlink" Target="https://wupgdansk.praca.gov.pl/documents/d/wupgdansk/inteligentne-specjalizacje-pomorza" TargetMode="External"/><Relationship Id="rId4" Type="http://schemas.openxmlformats.org/officeDocument/2006/relationships/settings" Target="settings.xml"/><Relationship Id="rId9" Type="http://schemas.openxmlformats.org/officeDocument/2006/relationships/hyperlink" Target="https://barometrzawodow.pl/modul/publikacje?publication=county&amp;province=11&amp;county=246&amp;year=2026" TargetMode="External"/><Relationship Id="rId14" Type="http://schemas.openxmlformats.org/officeDocument/2006/relationships/hyperlink" Target="https://www.gov.pl/web/popcwsparcie/zarzadzanie-procesami-biznesowymi-bpm." TargetMode="External"/><Relationship Id="rId22" Type="http://schemas.openxmlformats.org/officeDocument/2006/relationships/hyperlink" Target="https://wupgdansk.praca.gov.pl/documents/d/wupgdansk/branze-kluczow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7208-F102-423A-949A-E3839A2D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3234</Words>
  <Characters>19410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Jawor</dc:creator>
  <cp:keywords/>
  <cp:lastModifiedBy>Małgorzata Furtak</cp:lastModifiedBy>
  <cp:revision>7</cp:revision>
  <cp:lastPrinted>2026-03-05T06:14:00Z</cp:lastPrinted>
  <dcterms:created xsi:type="dcterms:W3CDTF">2026-03-02T11:46:00Z</dcterms:created>
  <dcterms:modified xsi:type="dcterms:W3CDTF">2026-03-05T06:14:00Z</dcterms:modified>
</cp:coreProperties>
</file>